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CBC8F1" w14:textId="11A1288B" w:rsidR="00D801B3" w:rsidRDefault="00000000">
      <w:pPr>
        <w:pBdr>
          <w:bottom w:val="dashed" w:sz="4" w:space="15" w:color="000000"/>
        </w:pBdr>
        <w:tabs>
          <w:tab w:val="center" w:pos="4680"/>
          <w:tab w:val="right" w:pos="9360"/>
          <w:tab w:val="right" w:pos="7938"/>
        </w:tabs>
        <w:spacing w:after="0" w:line="240" w:lineRule="auto"/>
        <w:ind w:left="425" w:right="-18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Volume </w:t>
      </w:r>
      <w:r w:rsidR="00CB72F7">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Number </w:t>
      </w:r>
      <w:r w:rsidR="00CB72F7">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00CB72F7">
        <w:rPr>
          <w:rFonts w:ascii="Times New Roman" w:eastAsia="Times New Roman" w:hAnsi="Times New Roman" w:cs="Times New Roman"/>
          <w:sz w:val="24"/>
          <w:szCs w:val="24"/>
        </w:rPr>
        <w:t xml:space="preserve"> June 2026</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Pr>
          <w:noProof/>
        </w:rPr>
        <w:drawing>
          <wp:anchor distT="0" distB="0" distL="0" distR="0" simplePos="0" relativeHeight="251658240" behindDoc="1" locked="0" layoutInCell="1" hidden="0" allowOverlap="1" wp14:anchorId="0A234E70" wp14:editId="0784CE7F">
            <wp:simplePos x="0" y="0"/>
            <wp:positionH relativeFrom="column">
              <wp:posOffset>3713911</wp:posOffset>
            </wp:positionH>
            <wp:positionV relativeFrom="paragraph">
              <wp:posOffset>-367049</wp:posOffset>
            </wp:positionV>
            <wp:extent cx="1880007" cy="809396"/>
            <wp:effectExtent l="0" t="0" r="0" b="0"/>
            <wp:wrapNone/>
            <wp:docPr id="21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l="11367" t="33026" r="10138" b="33179"/>
                    <a:stretch>
                      <a:fillRect/>
                    </a:stretch>
                  </pic:blipFill>
                  <pic:spPr>
                    <a:xfrm>
                      <a:off x="0" y="0"/>
                      <a:ext cx="1880007" cy="809396"/>
                    </a:xfrm>
                    <a:prstGeom prst="rect">
                      <a:avLst/>
                    </a:prstGeom>
                    <a:ln/>
                  </pic:spPr>
                </pic:pic>
              </a:graphicData>
            </a:graphic>
          </wp:anchor>
        </w:drawing>
      </w:r>
    </w:p>
    <w:p w14:paraId="4BE89F04" w14:textId="3EA5C7F5" w:rsidR="00D801B3" w:rsidRDefault="00000000">
      <w:pPr>
        <w:pBdr>
          <w:bottom w:val="dashed" w:sz="4" w:space="15" w:color="000000"/>
        </w:pBdr>
        <w:tabs>
          <w:tab w:val="center" w:pos="4680"/>
          <w:tab w:val="right" w:pos="9360"/>
          <w:tab w:val="right" w:pos="7938"/>
        </w:tabs>
        <w:spacing w:after="0" w:line="240" w:lineRule="auto"/>
        <w:ind w:right="-181"/>
        <w:jc w:val="both"/>
        <w:rPr>
          <w:rFonts w:ascii="Cambria" w:eastAsia="Cambria" w:hAnsi="Cambria" w:cs="Cambria"/>
          <w:sz w:val="33"/>
          <w:szCs w:val="33"/>
          <w:vertAlign w:val="subscript"/>
        </w:rPr>
      </w:pPr>
      <w:r>
        <w:rPr>
          <w:rFonts w:ascii="Times New Roman" w:eastAsia="Times New Roman" w:hAnsi="Times New Roman" w:cs="Times New Roman"/>
          <w:sz w:val="24"/>
          <w:szCs w:val="24"/>
        </w:rPr>
        <w:t xml:space="preserve">e- ISSN: </w:t>
      </w:r>
      <w:r w:rsidR="00CB72F7">
        <w:rPr>
          <w:rFonts w:ascii="Times New Roman" w:eastAsia="Times New Roman" w:hAnsi="Times New Roman" w:cs="Times New Roman"/>
          <w:sz w:val="24"/>
          <w:szCs w:val="24"/>
        </w:rPr>
        <w:t>3046-8221</w:t>
      </w:r>
    </w:p>
    <w:p w14:paraId="36293F49" w14:textId="77777777" w:rsidR="00D801B3" w:rsidRDefault="00000000">
      <w:pPr>
        <w:tabs>
          <w:tab w:val="left" w:pos="4919"/>
        </w:tabs>
        <w:spacing w:before="75" w:line="240" w:lineRule="auto"/>
        <w:rPr>
          <w:rFonts w:ascii="Cambria" w:eastAsia="Cambria" w:hAnsi="Cambria" w:cs="Cambria"/>
          <w:sz w:val="33"/>
          <w:szCs w:val="33"/>
          <w:vertAlign w:val="subscript"/>
        </w:rPr>
      </w:pPr>
      <w:r>
        <w:rPr>
          <w:noProof/>
        </w:rPr>
        <mc:AlternateContent>
          <mc:Choice Requires="wps">
            <w:drawing>
              <wp:anchor distT="0" distB="0" distL="114300" distR="114300" simplePos="0" relativeHeight="251659264" behindDoc="0" locked="0" layoutInCell="1" hidden="0" allowOverlap="1" wp14:anchorId="0CF28D45" wp14:editId="50224D35">
                <wp:simplePos x="0" y="0"/>
                <wp:positionH relativeFrom="column">
                  <wp:posOffset>3339</wp:posOffset>
                </wp:positionH>
                <wp:positionV relativeFrom="paragraph">
                  <wp:posOffset>38100</wp:posOffset>
                </wp:positionV>
                <wp:extent cx="0" cy="25400"/>
                <wp:effectExtent l="0" t="0" r="0" b="0"/>
                <wp:wrapNone/>
                <wp:docPr id="213" name="Straight Arrow Connector 213"/>
                <wp:cNvGraphicFramePr/>
                <a:graphic xmlns:a="http://schemas.openxmlformats.org/drawingml/2006/main">
                  <a:graphicData uri="http://schemas.microsoft.com/office/word/2010/wordprocessingShape">
                    <wps:wsp>
                      <wps:cNvCnPr/>
                      <wps:spPr>
                        <a:xfrm>
                          <a:off x="2483738" y="3780000"/>
                          <a:ext cx="5724525" cy="0"/>
                        </a:xfrm>
                        <a:prstGeom prst="straightConnector1">
                          <a:avLst/>
                        </a:prstGeom>
                        <a:noFill/>
                        <a:ln w="25400" cap="flat" cmpd="sng">
                          <a:solidFill>
                            <a:srgbClr val="00B05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3339</wp:posOffset>
                </wp:positionH>
                <wp:positionV relativeFrom="paragraph">
                  <wp:posOffset>38100</wp:posOffset>
                </wp:positionV>
                <wp:extent cx="0" cy="25400"/>
                <wp:effectExtent b="0" l="0" r="0" t="0"/>
                <wp:wrapNone/>
                <wp:docPr id="213"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25400"/>
                        </a:xfrm>
                        <a:prstGeom prst="rect"/>
                        <a:ln/>
                      </pic:spPr>
                    </pic:pic>
                  </a:graphicData>
                </a:graphic>
              </wp:anchor>
            </w:drawing>
          </mc:Fallback>
        </mc:AlternateContent>
      </w:r>
    </w:p>
    <w:p w14:paraId="2BD6806C" w14:textId="3DEBD54B" w:rsidR="00C14EF7" w:rsidRPr="00C636DB" w:rsidRDefault="00C636DB" w:rsidP="00C14EF7">
      <w:pPr>
        <w:jc w:val="center"/>
        <w:rPr>
          <w:rFonts w:ascii="Times New Roman" w:hAnsi="Times New Roman" w:cs="Times New Roman"/>
          <w:b/>
          <w:bCs/>
          <w:sz w:val="24"/>
          <w:szCs w:val="24"/>
        </w:rPr>
      </w:pPr>
      <w:r w:rsidRPr="00C636DB">
        <w:rPr>
          <w:rFonts w:ascii="Times New Roman" w:hAnsi="Times New Roman" w:cs="Times New Roman"/>
          <w:b/>
          <w:bCs/>
          <w:sz w:val="24"/>
          <w:szCs w:val="24"/>
        </w:rPr>
        <w:t>DIGITAL TRANSFORMATION OF ISLAMIC BANKING IN INDONESIA: ANALYZING OPPORTUNITIES, CHALLENGES, AND STRATEGIES FOR ENHANCING COMPETITIVENESS IN THE DIGITAL ECONOMY ERA</w:t>
      </w:r>
    </w:p>
    <w:p w14:paraId="6C11F3D1" w14:textId="77249B0D" w:rsidR="00CA003F" w:rsidRPr="00C636DB" w:rsidRDefault="00CA003F" w:rsidP="00CA003F">
      <w:pPr>
        <w:jc w:val="center"/>
        <w:rPr>
          <w:rFonts w:ascii="Times New Roman" w:hAnsi="Times New Roman" w:cs="Times New Roman"/>
          <w:b/>
          <w:bCs/>
          <w:sz w:val="24"/>
          <w:szCs w:val="24"/>
        </w:rPr>
      </w:pPr>
    </w:p>
    <w:p w14:paraId="733C2FA3" w14:textId="3820A6B9" w:rsidR="00D801B3" w:rsidRPr="00CA3CDD" w:rsidRDefault="00CA003F">
      <w:pPr>
        <w:pStyle w:val="Heading1"/>
        <w:spacing w:before="80"/>
        <w:ind w:left="851" w:right="95"/>
        <w:jc w:val="center"/>
        <w:rPr>
          <w:rFonts w:asciiTheme="majorBidi" w:hAnsiTheme="majorBidi" w:cstheme="majorBidi"/>
          <w:sz w:val="24"/>
          <w:szCs w:val="24"/>
          <w:vertAlign w:val="superscript"/>
          <w:lang w:val="sv-SE"/>
        </w:rPr>
      </w:pPr>
      <w:r w:rsidRPr="00CA3CDD">
        <w:rPr>
          <w:rFonts w:asciiTheme="majorBidi" w:hAnsiTheme="majorBidi" w:cstheme="majorBidi"/>
          <w:sz w:val="24"/>
          <w:szCs w:val="24"/>
          <w:lang w:val="sv-SE"/>
        </w:rPr>
        <w:t>Zulkipli</w:t>
      </w:r>
      <w:r w:rsidRPr="00CA3CDD">
        <w:rPr>
          <w:rFonts w:asciiTheme="majorBidi" w:hAnsiTheme="majorBidi" w:cstheme="majorBidi"/>
          <w:sz w:val="24"/>
          <w:szCs w:val="24"/>
          <w:vertAlign w:val="superscript"/>
          <w:lang w:val="sv-SE"/>
        </w:rPr>
        <w:t>1</w:t>
      </w:r>
    </w:p>
    <w:p w14:paraId="66FC7B65" w14:textId="7533A9A3" w:rsidR="00D801B3" w:rsidRPr="007D09C3" w:rsidRDefault="007D09C3" w:rsidP="007D09C3">
      <w:pPr>
        <w:spacing w:line="240" w:lineRule="auto"/>
        <w:jc w:val="center"/>
        <w:rPr>
          <w:rFonts w:ascii="Times New Roman" w:hAnsi="Times New Roman" w:cs="Times New Roman"/>
          <w:sz w:val="24"/>
          <w:szCs w:val="24"/>
          <w:lang w:val="sv-SE"/>
        </w:rPr>
      </w:pPr>
      <w:r w:rsidRPr="007D09C3">
        <w:rPr>
          <w:rFonts w:asciiTheme="majorBidi" w:hAnsiTheme="majorBidi" w:cstheme="majorBidi"/>
          <w:sz w:val="24"/>
          <w:szCs w:val="24"/>
          <w:lang w:val="sv-SE"/>
        </w:rPr>
        <w:t>Universitas Islam Negeri Mataram</w:t>
      </w:r>
      <w:r w:rsidRPr="007D09C3">
        <w:rPr>
          <w:rFonts w:asciiTheme="majorBidi" w:hAnsiTheme="majorBidi" w:cstheme="majorBidi"/>
          <w:sz w:val="24"/>
          <w:szCs w:val="24"/>
          <w:vertAlign w:val="superscript"/>
          <w:lang w:val="sv-SE"/>
        </w:rPr>
        <w:t>1</w:t>
      </w:r>
      <w:r w:rsidRPr="007D09C3">
        <w:rPr>
          <w:rFonts w:asciiTheme="majorBidi" w:hAnsiTheme="majorBidi" w:cstheme="majorBidi"/>
          <w:sz w:val="24"/>
          <w:szCs w:val="24"/>
          <w:lang w:val="sv-SE"/>
        </w:rPr>
        <w:t xml:space="preserve">, </w:t>
      </w:r>
      <w:r w:rsidRPr="007D09C3">
        <w:rPr>
          <w:rFonts w:asciiTheme="majorBidi" w:hAnsiTheme="majorBidi" w:cstheme="majorBidi"/>
          <w:sz w:val="24"/>
          <w:szCs w:val="24"/>
          <w:lang w:val="sv-SE"/>
        </w:rPr>
        <w:br/>
      </w:r>
      <w:r w:rsidRPr="007D09C3">
        <w:rPr>
          <w:rFonts w:asciiTheme="majorBidi" w:hAnsiTheme="majorBidi" w:cstheme="majorBidi"/>
          <w:sz w:val="24"/>
          <w:szCs w:val="24"/>
          <w:vertAlign w:val="superscript"/>
          <w:lang w:val="sv-SE"/>
        </w:rPr>
        <w:t>1</w:t>
      </w:r>
      <w:hyperlink r:id="rId11" w:history="1">
        <w:r w:rsidR="00CA3CDD" w:rsidRPr="00E374DA">
          <w:rPr>
            <w:rStyle w:val="Hyperlink"/>
            <w:rFonts w:asciiTheme="majorBidi" w:hAnsiTheme="majorBidi" w:cstheme="majorBidi"/>
            <w:sz w:val="24"/>
            <w:szCs w:val="24"/>
            <w:lang w:val="sv-SE"/>
          </w:rPr>
          <w:t>240404004.mhs@uinmataram.ac.id</w:t>
        </w:r>
      </w:hyperlink>
      <w:r w:rsidRPr="007D09C3">
        <w:rPr>
          <w:lang w:val="sv-SE"/>
        </w:rPr>
        <w:t xml:space="preserve"> </w:t>
      </w:r>
    </w:p>
    <w:p w14:paraId="7F16C334" w14:textId="77777777" w:rsidR="00D801B3" w:rsidRPr="007D09C3" w:rsidRDefault="00D801B3">
      <w:pPr>
        <w:pStyle w:val="Heading1"/>
        <w:spacing w:before="80"/>
        <w:ind w:left="851" w:right="-46"/>
        <w:jc w:val="center"/>
        <w:rPr>
          <w:b w:val="0"/>
          <w:sz w:val="20"/>
          <w:szCs w:val="20"/>
          <w:lang w:val="sv-SE"/>
        </w:rPr>
      </w:pPr>
    </w:p>
    <w:tbl>
      <w:tblPr>
        <w:tblStyle w:val="a"/>
        <w:tblW w:w="9072" w:type="dxa"/>
        <w:tblInd w:w="-115" w:type="dxa"/>
        <w:tblLayout w:type="fixed"/>
        <w:tblLook w:val="0400" w:firstRow="0" w:lastRow="0" w:firstColumn="0" w:lastColumn="0" w:noHBand="0" w:noVBand="1"/>
      </w:tblPr>
      <w:tblGrid>
        <w:gridCol w:w="2235"/>
        <w:gridCol w:w="6837"/>
      </w:tblGrid>
      <w:tr w:rsidR="00D801B3" w14:paraId="09E13C95" w14:textId="77777777">
        <w:trPr>
          <w:trHeight w:val="3541"/>
        </w:trPr>
        <w:tc>
          <w:tcPr>
            <w:tcW w:w="2235" w:type="dxa"/>
          </w:tcPr>
          <w:p w14:paraId="274BA937" w14:textId="77777777" w:rsidR="00D801B3" w:rsidRPr="007D09C3" w:rsidRDefault="00D801B3">
            <w:pPr>
              <w:widowControl w:val="0"/>
              <w:pBdr>
                <w:top w:val="nil"/>
                <w:left w:val="nil"/>
                <w:bottom w:val="nil"/>
                <w:right w:val="nil"/>
                <w:between w:val="nil"/>
              </w:pBdr>
              <w:spacing w:after="0" w:line="240" w:lineRule="auto"/>
              <w:ind w:left="690" w:right="192"/>
              <w:rPr>
                <w:rFonts w:ascii="Book Antiqua" w:eastAsia="Book Antiqua" w:hAnsi="Book Antiqua" w:cs="Book Antiqua"/>
                <w:b/>
                <w:color w:val="4F81BD"/>
                <w:sz w:val="24"/>
                <w:szCs w:val="24"/>
                <w:lang w:val="sv-SE"/>
              </w:rPr>
            </w:pPr>
          </w:p>
          <w:p w14:paraId="1CA75842" w14:textId="77777777" w:rsidR="00D801B3" w:rsidRDefault="00000000">
            <w:pPr>
              <w:widowControl w:val="0"/>
              <w:pBdr>
                <w:top w:val="nil"/>
                <w:left w:val="nil"/>
                <w:bottom w:val="nil"/>
                <w:right w:val="nil"/>
                <w:between w:val="nil"/>
              </w:pBdr>
              <w:spacing w:after="0" w:line="240" w:lineRule="auto"/>
              <w:ind w:right="192"/>
              <w:rPr>
                <w:rFonts w:ascii="Book Antiqua" w:eastAsia="Book Antiqua" w:hAnsi="Book Antiqua" w:cs="Book Antiqua"/>
                <w:color w:val="002060"/>
                <w:sz w:val="20"/>
                <w:szCs w:val="20"/>
              </w:rPr>
            </w:pPr>
            <w:r>
              <w:rPr>
                <w:rFonts w:ascii="Book Antiqua" w:eastAsia="Book Antiqua" w:hAnsi="Book Antiqua" w:cs="Book Antiqua"/>
                <w:b/>
                <w:color w:val="000000"/>
                <w:sz w:val="24"/>
                <w:szCs w:val="24"/>
              </w:rPr>
              <w:t>KEYWORDS</w:t>
            </w:r>
            <w:r>
              <w:rPr>
                <w:rFonts w:ascii="Book Antiqua" w:eastAsia="Book Antiqua" w:hAnsi="Book Antiqua" w:cs="Book Antiqua"/>
                <w:color w:val="002060"/>
                <w:sz w:val="20"/>
                <w:szCs w:val="20"/>
              </w:rPr>
              <w:t xml:space="preserve"> </w:t>
            </w:r>
          </w:p>
          <w:p w14:paraId="53BB70C6" w14:textId="77777777" w:rsidR="00CA003F" w:rsidRPr="00CA003F" w:rsidRDefault="00CA003F" w:rsidP="00CA003F">
            <w:pPr>
              <w:widowControl w:val="0"/>
              <w:pBdr>
                <w:top w:val="nil"/>
                <w:left w:val="nil"/>
                <w:bottom w:val="nil"/>
                <w:right w:val="nil"/>
                <w:between w:val="nil"/>
              </w:pBdr>
              <w:spacing w:after="0" w:line="240" w:lineRule="auto"/>
              <w:ind w:right="192"/>
              <w:rPr>
                <w:rFonts w:ascii="Times New Roman" w:eastAsia="Times New Roman" w:hAnsi="Times New Roman" w:cs="Times New Roman"/>
                <w:color w:val="000000"/>
                <w:sz w:val="20"/>
                <w:szCs w:val="20"/>
              </w:rPr>
            </w:pPr>
            <w:r w:rsidRPr="00CA003F">
              <w:rPr>
                <w:rFonts w:ascii="Times New Roman" w:eastAsia="Times New Roman" w:hAnsi="Times New Roman" w:cs="Times New Roman"/>
                <w:color w:val="000000"/>
                <w:sz w:val="20"/>
                <w:szCs w:val="20"/>
              </w:rPr>
              <w:t xml:space="preserve">Digital Transformation, Islamic Banking, the Digital Age </w:t>
            </w:r>
          </w:p>
          <w:p w14:paraId="00F0BD1E" w14:textId="77777777" w:rsidR="00D801B3" w:rsidRDefault="00D801B3">
            <w:pPr>
              <w:widowControl w:val="0"/>
              <w:pBdr>
                <w:top w:val="nil"/>
                <w:left w:val="nil"/>
                <w:bottom w:val="nil"/>
                <w:right w:val="nil"/>
                <w:between w:val="nil"/>
              </w:pBdr>
              <w:spacing w:after="0" w:line="240" w:lineRule="auto"/>
              <w:ind w:right="192"/>
              <w:rPr>
                <w:rFonts w:ascii="Times New Roman" w:eastAsia="Times New Roman" w:hAnsi="Times New Roman" w:cs="Times New Roman"/>
                <w:color w:val="000000"/>
                <w:sz w:val="20"/>
                <w:szCs w:val="20"/>
              </w:rPr>
            </w:pPr>
            <w:bookmarkStart w:id="0" w:name="_heading=h.j1nme8agx1k0" w:colFirst="0" w:colLast="0"/>
            <w:bookmarkEnd w:id="0"/>
          </w:p>
        </w:tc>
        <w:tc>
          <w:tcPr>
            <w:tcW w:w="6837" w:type="dxa"/>
          </w:tcPr>
          <w:p w14:paraId="2E93D8C1" w14:textId="5CAD3620" w:rsidR="00D801B3" w:rsidRDefault="00000000" w:rsidP="00CA003F">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Book Antiqua" w:eastAsia="Book Antiqua" w:hAnsi="Book Antiqua" w:cs="Book Antiqua"/>
                <w:b/>
                <w:color w:val="000000"/>
                <w:sz w:val="24"/>
                <w:szCs w:val="24"/>
              </w:rPr>
              <w:t>ABSTRACT</w:t>
            </w:r>
          </w:p>
          <w:p w14:paraId="605DDF06" w14:textId="77777777" w:rsidR="00CA003F" w:rsidRPr="00CA003F" w:rsidRDefault="00CA003F" w:rsidP="00CA003F">
            <w:pPr>
              <w:widowControl w:val="0"/>
              <w:pBdr>
                <w:top w:val="nil"/>
                <w:left w:val="nil"/>
                <w:bottom w:val="nil"/>
                <w:right w:val="nil"/>
                <w:between w:val="nil"/>
              </w:pBdr>
              <w:spacing w:after="0" w:line="240" w:lineRule="auto"/>
              <w:ind w:left="206"/>
              <w:jc w:val="both"/>
              <w:rPr>
                <w:rFonts w:asciiTheme="majorBidi" w:eastAsia="Times New Roman" w:hAnsiTheme="majorBidi" w:cstheme="majorBidi"/>
                <w:color w:val="000000"/>
                <w:sz w:val="20"/>
                <w:szCs w:val="20"/>
              </w:rPr>
            </w:pPr>
            <w:r w:rsidRPr="00CA003F">
              <w:rPr>
                <w:rFonts w:asciiTheme="majorBidi" w:eastAsia="Times New Roman" w:hAnsiTheme="majorBidi" w:cstheme="majorBidi"/>
                <w:color w:val="000000"/>
                <w:sz w:val="20"/>
                <w:szCs w:val="20"/>
              </w:rPr>
              <w:t>This study aims to analyse the digital transformation strategies implemented by Islamic banks in responding to challenges whilst capitalising on opportunities in the digital age. The primary focus of this study is the relationship between technological innovation and compliance with Sharia principles, as well as how digitalisation strategies can strengthen the competitiveness of Islamic banking without compromising the integrity of Islamic law. The methodology employed is a descriptive qualitative approach through a literature review, examining various academic references such as national and international journals, regulatory reports (from the OJK and Bank Indonesia), and strategic documents from leading Islamic banks. This secondary data was systematically analysed to identify opportunities, challenges, and actual strategies implemented. The findings indicate that digitalisation presents significant opportunities for expanding Islamic financial inclusion, operational efficiency, and technology-based product innovations such as e-mudharabah, e-wakaf, and mobile zakat. However, the main challenges faced include regulatory frameworks that have yet to adapt, data security risks, disparities in digital infrastructure, and a shortage of human resources with dual expertise (in digital technology and Sharia law). The proposed strategies include strengthening the digital Sharia ecosystem, collaborating with halal fintech firms, adopting innovative technologies such as AI and open banking APIs, and providing staff training based on the integration of technology and fiqh muamalah. Through a holistic approach, digital transformation is expected to consolidate the position of Sharia banking as a pillar of the modern Islamic economy that is inclusive, efficient, and sustainable.</w:t>
            </w:r>
          </w:p>
          <w:p w14:paraId="0C41D082" w14:textId="77777777" w:rsidR="00CA003F" w:rsidRPr="00CA003F" w:rsidRDefault="00CA003F" w:rsidP="00CA003F">
            <w:pPr>
              <w:widowControl w:val="0"/>
              <w:pBdr>
                <w:top w:val="nil"/>
                <w:left w:val="nil"/>
                <w:bottom w:val="nil"/>
                <w:right w:val="nil"/>
                <w:between w:val="nil"/>
              </w:pBdr>
              <w:spacing w:after="0" w:line="240" w:lineRule="auto"/>
              <w:ind w:left="206"/>
              <w:jc w:val="both"/>
              <w:rPr>
                <w:rFonts w:ascii="Times New Roman" w:eastAsia="Times New Roman" w:hAnsi="Times New Roman" w:cs="Times New Roman"/>
                <w:color w:val="000000"/>
                <w:sz w:val="20"/>
                <w:szCs w:val="20"/>
              </w:rPr>
            </w:pPr>
          </w:p>
          <w:p w14:paraId="3E6C49FD" w14:textId="77777777" w:rsidR="00CA003F" w:rsidRPr="00CA003F" w:rsidRDefault="00CA003F" w:rsidP="00CA003F">
            <w:pPr>
              <w:widowControl w:val="0"/>
              <w:pBdr>
                <w:top w:val="nil"/>
                <w:left w:val="nil"/>
                <w:bottom w:val="nil"/>
                <w:right w:val="nil"/>
                <w:between w:val="nil"/>
              </w:pBdr>
              <w:spacing w:after="0" w:line="240" w:lineRule="auto"/>
              <w:ind w:left="206"/>
              <w:jc w:val="both"/>
              <w:rPr>
                <w:rFonts w:ascii="Times New Roman" w:eastAsia="Times New Roman" w:hAnsi="Times New Roman" w:cs="Times New Roman"/>
                <w:color w:val="000000"/>
                <w:sz w:val="20"/>
                <w:szCs w:val="20"/>
              </w:rPr>
            </w:pPr>
          </w:p>
          <w:p w14:paraId="78EF2812" w14:textId="61E46E94" w:rsidR="00D801B3" w:rsidRDefault="00D801B3" w:rsidP="00CA003F">
            <w:pPr>
              <w:widowControl w:val="0"/>
              <w:pBdr>
                <w:top w:val="nil"/>
                <w:left w:val="nil"/>
                <w:bottom w:val="nil"/>
                <w:right w:val="nil"/>
                <w:between w:val="nil"/>
              </w:pBdr>
              <w:spacing w:after="0" w:line="240" w:lineRule="auto"/>
              <w:ind w:left="206"/>
              <w:jc w:val="both"/>
              <w:rPr>
                <w:rFonts w:ascii="Times New Roman" w:eastAsia="Times New Roman" w:hAnsi="Times New Roman" w:cs="Times New Roman"/>
                <w:color w:val="000000"/>
              </w:rPr>
            </w:pPr>
          </w:p>
        </w:tc>
      </w:tr>
    </w:tbl>
    <w:p w14:paraId="5DEBA10E" w14:textId="77777777" w:rsidR="00283B7F" w:rsidRPr="00C636DB" w:rsidRDefault="00000000" w:rsidP="00283B7F">
      <w:pPr>
        <w:spacing w:after="0" w:line="240" w:lineRule="auto"/>
        <w:rPr>
          <w:rFonts w:ascii="Book Antiqua" w:eastAsia="Book Antiqua" w:hAnsi="Book Antiqua" w:cs="Book Antiqua"/>
          <w:b/>
          <w:color w:val="000000"/>
          <w:sz w:val="24"/>
          <w:szCs w:val="24"/>
        </w:rPr>
      </w:pPr>
      <w:r w:rsidRPr="00C636DB">
        <w:rPr>
          <w:rFonts w:ascii="Book Antiqua" w:eastAsia="Book Antiqua" w:hAnsi="Book Antiqua" w:cs="Book Antiqua"/>
          <w:b/>
          <w:color w:val="000000"/>
          <w:sz w:val="24"/>
          <w:szCs w:val="24"/>
        </w:rPr>
        <w:t>INTRODUCTION</w:t>
      </w:r>
    </w:p>
    <w:p w14:paraId="3A6EE41F" w14:textId="59E92C31" w:rsidR="00283B7F" w:rsidRPr="00C636DB" w:rsidRDefault="00C636DB" w:rsidP="00283B7F">
      <w:pPr>
        <w:spacing w:after="0" w:line="240" w:lineRule="auto"/>
        <w:ind w:firstLine="426"/>
        <w:jc w:val="both"/>
        <w:rPr>
          <w:rFonts w:ascii="Times New Roman" w:hAnsi="Times New Roman" w:cs="Times New Roman"/>
          <w:sz w:val="24"/>
          <w:szCs w:val="24"/>
        </w:rPr>
      </w:pPr>
      <w:r w:rsidRPr="00C636DB">
        <w:rPr>
          <w:rFonts w:ascii="Times New Roman" w:hAnsi="Times New Roman" w:cs="Times New Roman"/>
          <w:sz w:val="24"/>
          <w:szCs w:val="24"/>
        </w:rPr>
        <w:t>The rapid advancement of digital technology has brought fundamental changes across various sectors, including the financial industry. Digital transformation has become inevitable as internet usage continues to increase, technological devices become more sophisticated, and society increasingly prioritizes financial services that are fast, convenient, and secure (Bella &amp; Himmawan, 2021). These developments not only create greater operational efficiency but also encourage the emergence of new business models that are more adaptive and responsive to evolving market needs. In this context, the banking sector is required to continuously innovate in order to remain relevant and competitive amid the dynamic digital economy.</w:t>
      </w:r>
    </w:p>
    <w:p w14:paraId="53FDDBF4" w14:textId="77777777" w:rsidR="00C636DB" w:rsidRPr="00C636DB" w:rsidRDefault="00C636DB" w:rsidP="00C636DB">
      <w:pPr>
        <w:spacing w:after="0" w:line="240" w:lineRule="auto"/>
        <w:ind w:firstLine="426"/>
        <w:jc w:val="both"/>
        <w:rPr>
          <w:rFonts w:ascii="Times New Roman" w:hAnsi="Times New Roman" w:cs="Times New Roman"/>
          <w:sz w:val="24"/>
          <w:szCs w:val="24"/>
        </w:rPr>
      </w:pPr>
      <w:r w:rsidRPr="00C636DB">
        <w:rPr>
          <w:rFonts w:ascii="Times New Roman" w:hAnsi="Times New Roman" w:cs="Times New Roman"/>
          <w:sz w:val="24"/>
          <w:szCs w:val="24"/>
        </w:rPr>
        <w:lastRenderedPageBreak/>
        <w:t>The Fourth Industrial Revolution, characterized by the integration of advanced technologies such as big data, artificial intelligence (AI), and the Internet of Things (IoT), has placed considerable pressure on the banking sector. Banks are required not only to innovate technologically but also to adapt systematically to the changing business landscape (Setyaningrat et al., 2023). This adaptation encompasses changes in organizational structures, service delivery approaches, and internal regulations that must be agile and future-oriented. In an increasingly competitive and open financial environment, the speed and effectiveness of digital transformation have become critical determinants of institutional sustainability.</w:t>
      </w:r>
    </w:p>
    <w:p w14:paraId="4CEC12BB" w14:textId="77777777" w:rsidR="00C636DB" w:rsidRPr="00C636DB" w:rsidRDefault="00C636DB" w:rsidP="00C636DB">
      <w:pPr>
        <w:spacing w:after="0" w:line="240" w:lineRule="auto"/>
        <w:ind w:firstLine="426"/>
        <w:jc w:val="both"/>
        <w:rPr>
          <w:rFonts w:ascii="Times New Roman" w:hAnsi="Times New Roman" w:cs="Times New Roman"/>
          <w:sz w:val="24"/>
          <w:szCs w:val="24"/>
        </w:rPr>
      </w:pPr>
      <w:r w:rsidRPr="00C636DB">
        <w:rPr>
          <w:rFonts w:ascii="Times New Roman" w:hAnsi="Times New Roman" w:cs="Times New Roman"/>
          <w:sz w:val="24"/>
          <w:szCs w:val="24"/>
        </w:rPr>
        <w:t>As an integral component of Indonesia’s financial system, Islamic banking has also been significantly affected by these developments. While adhering to Sharia principles, Islamic banking institutions are challenged to adopt emerging technologies without violating Islamic legal provisions (Husni Shabri, 2022). This creates a dual challenge: maintaining competitiveness in the digital era while preserving Sharia compliance across all products and services. For example, the implementation of smart contracts or blockchain technology in Islamic financing must continue to ensure the validity of contractual agreements (</w:t>
      </w:r>
      <w:r w:rsidRPr="00C636DB">
        <w:rPr>
          <w:rFonts w:ascii="Times New Roman" w:hAnsi="Times New Roman" w:cs="Times New Roman"/>
          <w:i/>
          <w:iCs/>
          <w:sz w:val="24"/>
          <w:szCs w:val="24"/>
        </w:rPr>
        <w:t>akad</w:t>
      </w:r>
      <w:r w:rsidRPr="00C636DB">
        <w:rPr>
          <w:rFonts w:ascii="Times New Roman" w:hAnsi="Times New Roman" w:cs="Times New Roman"/>
          <w:sz w:val="24"/>
          <w:szCs w:val="24"/>
        </w:rPr>
        <w:t>) and uphold transparency in accordance with Sharia principles.</w:t>
      </w:r>
    </w:p>
    <w:p w14:paraId="77A4041D" w14:textId="14AC671B" w:rsidR="00283B7F" w:rsidRPr="00C636DB" w:rsidRDefault="00C636DB" w:rsidP="00C636DB">
      <w:pPr>
        <w:spacing w:after="0" w:line="240" w:lineRule="auto"/>
        <w:ind w:firstLine="426"/>
        <w:jc w:val="both"/>
        <w:rPr>
          <w:rFonts w:ascii="Times New Roman" w:hAnsi="Times New Roman" w:cs="Times New Roman"/>
          <w:sz w:val="24"/>
          <w:szCs w:val="24"/>
        </w:rPr>
      </w:pPr>
      <w:r w:rsidRPr="00C636DB">
        <w:rPr>
          <w:rFonts w:ascii="Times New Roman" w:hAnsi="Times New Roman" w:cs="Times New Roman"/>
          <w:sz w:val="24"/>
          <w:szCs w:val="24"/>
        </w:rPr>
        <w:t xml:space="preserve">Research by Dwi et al. (2021) indicates that digital transformation in Islamic banking offers substantial opportunities to enhance financial inclusion, expand financial services to unbanked and underbanked communities, and improve operational efficiency. Digital-based services such as mobile banking, digital onboarding, and Sharia-compliant e-wallets provide practical solutions that meet the needs of modern society while remaining consistent with the principles of </w:t>
      </w:r>
      <w:r w:rsidRPr="00C636DB">
        <w:rPr>
          <w:rFonts w:ascii="Times New Roman" w:hAnsi="Times New Roman" w:cs="Times New Roman"/>
          <w:i/>
          <w:iCs/>
          <w:sz w:val="24"/>
          <w:szCs w:val="24"/>
        </w:rPr>
        <w:t>fiqh muamalah</w:t>
      </w:r>
      <w:r w:rsidRPr="00C636DB">
        <w:rPr>
          <w:rFonts w:ascii="Times New Roman" w:hAnsi="Times New Roman" w:cs="Times New Roman"/>
          <w:sz w:val="24"/>
          <w:szCs w:val="24"/>
        </w:rPr>
        <w:t xml:space="preserve"> (Islamic commercial jurisprudence). Furthermore, digital technologies facilitate product innovation, including digital zakat, Islamic microfinance, and digital-based productive waqf, thereby broadening the role of Islamic finance in promoting sustainable socio-economic development.</w:t>
      </w:r>
    </w:p>
    <w:p w14:paraId="17881F7A" w14:textId="77777777" w:rsidR="00C636DB" w:rsidRPr="00C636DB" w:rsidRDefault="00C636DB" w:rsidP="00C636DB">
      <w:pPr>
        <w:spacing w:after="0" w:line="240" w:lineRule="auto"/>
        <w:ind w:firstLine="426"/>
        <w:jc w:val="both"/>
        <w:rPr>
          <w:rFonts w:ascii="Times New Roman" w:hAnsi="Times New Roman" w:cs="Times New Roman"/>
          <w:sz w:val="24"/>
          <w:szCs w:val="24"/>
        </w:rPr>
      </w:pPr>
      <w:r w:rsidRPr="00C636DB">
        <w:rPr>
          <w:rFonts w:ascii="Times New Roman" w:hAnsi="Times New Roman" w:cs="Times New Roman"/>
          <w:sz w:val="24"/>
          <w:szCs w:val="24"/>
        </w:rPr>
        <w:t>However, this transformation is not without challenges. The primary obstacles include limited technological infrastructure in remote areas, organizational resistance to change, a shortage of digitally skilled human resources, and regulatory frameworks that have not yet fully supported Sharia-based innovation (Jihad et al., 2022). The lack of integration between technological innovation and regulatory reform has resulted in slow strategic responses to digital disruption. Moreover, most Islamic banks remain in the early stages of digitalization, focusing primarily on technical improvements rather than undertaking comprehensive strategic transformation.</w:t>
      </w:r>
    </w:p>
    <w:p w14:paraId="5C2C3CD9" w14:textId="77777777" w:rsidR="00C636DB" w:rsidRPr="00C636DB" w:rsidRDefault="00C636DB" w:rsidP="00C636DB">
      <w:pPr>
        <w:spacing w:after="0" w:line="240" w:lineRule="auto"/>
        <w:ind w:firstLine="426"/>
        <w:jc w:val="both"/>
        <w:rPr>
          <w:rFonts w:ascii="Times New Roman" w:hAnsi="Times New Roman" w:cs="Times New Roman"/>
          <w:sz w:val="24"/>
          <w:szCs w:val="24"/>
        </w:rPr>
      </w:pPr>
      <w:r w:rsidRPr="00C636DB">
        <w:rPr>
          <w:rFonts w:ascii="Times New Roman" w:hAnsi="Times New Roman" w:cs="Times New Roman"/>
          <w:sz w:val="24"/>
          <w:szCs w:val="24"/>
        </w:rPr>
        <w:t xml:space="preserve">In addition, it is essential to ensure that all forms of banking digitalization, including smart contracts, digital wallets, and mobile banking, remain aligned with the principles of </w:t>
      </w:r>
      <w:r w:rsidRPr="00C636DB">
        <w:rPr>
          <w:rFonts w:ascii="Times New Roman" w:hAnsi="Times New Roman" w:cs="Times New Roman"/>
          <w:i/>
          <w:iCs/>
          <w:sz w:val="24"/>
          <w:szCs w:val="24"/>
        </w:rPr>
        <w:t>Maqashid al-Shariah</w:t>
      </w:r>
      <w:r w:rsidRPr="00C636DB">
        <w:rPr>
          <w:rFonts w:ascii="Times New Roman" w:hAnsi="Times New Roman" w:cs="Times New Roman"/>
          <w:sz w:val="24"/>
          <w:szCs w:val="24"/>
        </w:rPr>
        <w:t xml:space="preserve">. Therefore, a prudent approach is required to ensure that technological innovation does not conflict with the fundamental values of Islamic economics (Nurhadi, 2019). Technology should be utilized not only to improve economic efficiency but also to promote justice, transparency, and the welfare of society. In this regard, </w:t>
      </w:r>
      <w:r w:rsidRPr="00C636DB">
        <w:rPr>
          <w:rFonts w:ascii="Times New Roman" w:hAnsi="Times New Roman" w:cs="Times New Roman"/>
          <w:i/>
          <w:iCs/>
          <w:sz w:val="24"/>
          <w:szCs w:val="24"/>
        </w:rPr>
        <w:t>Maqashid al-Shariah</w:t>
      </w:r>
      <w:r w:rsidRPr="00C636DB">
        <w:rPr>
          <w:rFonts w:ascii="Times New Roman" w:hAnsi="Times New Roman" w:cs="Times New Roman"/>
          <w:sz w:val="24"/>
          <w:szCs w:val="24"/>
        </w:rPr>
        <w:t xml:space="preserve"> serves as both a moral and legal framework for the development of the digital Islamic financial ecosystem.</w:t>
      </w:r>
    </w:p>
    <w:p w14:paraId="28272D25" w14:textId="77777777" w:rsidR="00C636DB" w:rsidRPr="00C636DB" w:rsidRDefault="00C636DB" w:rsidP="00C636DB">
      <w:pPr>
        <w:spacing w:after="0" w:line="240" w:lineRule="auto"/>
        <w:ind w:firstLine="426"/>
        <w:jc w:val="both"/>
        <w:rPr>
          <w:rFonts w:ascii="Times New Roman" w:hAnsi="Times New Roman" w:cs="Times New Roman"/>
          <w:sz w:val="24"/>
          <w:szCs w:val="24"/>
        </w:rPr>
      </w:pPr>
      <w:r w:rsidRPr="00C636DB">
        <w:rPr>
          <w:rFonts w:ascii="Times New Roman" w:hAnsi="Times New Roman" w:cs="Times New Roman"/>
          <w:sz w:val="24"/>
          <w:szCs w:val="24"/>
        </w:rPr>
        <w:t xml:space="preserve">Digital transformation in Islamic banking should be viewed as a long-term strategic process. It requires strong managerial commitment, technological readiness, and a well-structured strategy covering every stage, from digital onboarding to AI- and blockchain-based digital services (Hiyanti et al., 2019). Ideally, this transformation should adopt a phased approach that integrates technical, institutional, and spiritual dimensions. Furthermore, an </w:t>
      </w:r>
      <w:r w:rsidRPr="00C636DB">
        <w:rPr>
          <w:rFonts w:ascii="Times New Roman" w:hAnsi="Times New Roman" w:cs="Times New Roman"/>
          <w:sz w:val="24"/>
          <w:szCs w:val="24"/>
        </w:rPr>
        <w:lastRenderedPageBreak/>
        <w:t>inclusive and realistic digital transformation roadmap is necessary to prevent disparities among service units and across different regions.</w:t>
      </w:r>
    </w:p>
    <w:p w14:paraId="01FBB5E4" w14:textId="77777777" w:rsidR="00C636DB" w:rsidRPr="00C636DB" w:rsidRDefault="00C636DB" w:rsidP="00C636DB">
      <w:pPr>
        <w:spacing w:after="0" w:line="240" w:lineRule="auto"/>
        <w:ind w:firstLine="426"/>
        <w:jc w:val="both"/>
        <w:rPr>
          <w:rFonts w:ascii="Times New Roman" w:hAnsi="Times New Roman" w:cs="Times New Roman"/>
          <w:sz w:val="24"/>
          <w:szCs w:val="24"/>
        </w:rPr>
      </w:pPr>
      <w:r w:rsidRPr="00C636DB">
        <w:rPr>
          <w:rFonts w:ascii="Times New Roman" w:hAnsi="Times New Roman" w:cs="Times New Roman"/>
          <w:sz w:val="24"/>
          <w:szCs w:val="24"/>
        </w:rPr>
        <w:t>The success of digital transformation also depends heavily on collaboration among regulators, academics, and industry practitioners in building a digital-ready, innovative, and socially inclusive Islamic banking ecosystem. Regulatory authorities such as the Financial Services Authority (OJK) and Bank Indonesia (BI) must formulate policies that are responsive to technological advancements, while universities and research institutions should contribute through empirical studies and practical solutions. Such multi-stakeholder collaboration is essential to ensure harmony between technological innovation, regulatory development, and Sharia principles.</w:t>
      </w:r>
    </w:p>
    <w:p w14:paraId="307DB050" w14:textId="77777777" w:rsidR="00C636DB" w:rsidRPr="00C636DB" w:rsidRDefault="00C636DB" w:rsidP="00C636DB">
      <w:pPr>
        <w:spacing w:after="0" w:line="240" w:lineRule="auto"/>
        <w:ind w:firstLine="426"/>
        <w:jc w:val="both"/>
        <w:rPr>
          <w:rFonts w:ascii="Times New Roman" w:hAnsi="Times New Roman" w:cs="Times New Roman"/>
          <w:sz w:val="24"/>
          <w:szCs w:val="24"/>
        </w:rPr>
      </w:pPr>
      <w:r w:rsidRPr="00C636DB">
        <w:rPr>
          <w:rFonts w:ascii="Times New Roman" w:hAnsi="Times New Roman" w:cs="Times New Roman"/>
          <w:sz w:val="24"/>
          <w:szCs w:val="24"/>
        </w:rPr>
        <w:t xml:space="preserve">Although numerous studies have examined digital transformation in Islamic banking, significant research gaps remain. Dwi et al. (2021) primarily focused on the contribution of digitalization to enhancing Islamic financial inclusion and the development of technology-based financial services within the framework of </w:t>
      </w:r>
      <w:r w:rsidRPr="00C636DB">
        <w:rPr>
          <w:rFonts w:ascii="Times New Roman" w:hAnsi="Times New Roman" w:cs="Times New Roman"/>
          <w:i/>
          <w:iCs/>
          <w:sz w:val="24"/>
          <w:szCs w:val="24"/>
        </w:rPr>
        <w:t>Maqashid al-Shariah</w:t>
      </w:r>
      <w:r w:rsidRPr="00C636DB">
        <w:rPr>
          <w:rFonts w:ascii="Times New Roman" w:hAnsi="Times New Roman" w:cs="Times New Roman"/>
          <w:sz w:val="24"/>
          <w:szCs w:val="24"/>
        </w:rPr>
        <w:t>. Meanwhile, Setyaningrat et al. (2023) concentrated on digitalization strategies to improve customer acceptance of Islamic banking services using the Technology Acceptance Model (TAM). However, neither study comprehensively examined the interrelationship between the opportunities presented by digitalization, the challenges of implementation, and the strategic transformation required for Islamic banking institutions within the Indonesian context.</w:t>
      </w:r>
    </w:p>
    <w:p w14:paraId="4E4CE05A" w14:textId="46D60E7D" w:rsidR="00283B7F" w:rsidRPr="00C636DB" w:rsidRDefault="00C636DB" w:rsidP="00C636DB">
      <w:pPr>
        <w:spacing w:after="0" w:line="240" w:lineRule="auto"/>
        <w:ind w:firstLine="426"/>
        <w:jc w:val="both"/>
        <w:rPr>
          <w:rFonts w:ascii="Times New Roman" w:hAnsi="Times New Roman" w:cs="Times New Roman"/>
          <w:sz w:val="24"/>
          <w:szCs w:val="24"/>
        </w:rPr>
      </w:pPr>
      <w:r w:rsidRPr="00C636DB">
        <w:rPr>
          <w:rFonts w:ascii="Times New Roman" w:hAnsi="Times New Roman" w:cs="Times New Roman"/>
          <w:sz w:val="24"/>
          <w:szCs w:val="24"/>
        </w:rPr>
        <w:t>This research gap highlights the need for a comprehensive study that integrates the opportunities, challenges, and strategic dimensions of digital transformation within a unified analytical framework while maintaining compliance with Sharia principles. Accordingly, this study seeks to address the following research questions: (1) What opportunities do Islamic banks encounter in the process of digital transformation in Indonesia? (2) What challenges arise in implementing digital transformation within Islamic banking institutions? and (3) What strategies can Islamic banks adopt to capitalize on these opportunities while overcoming digital transformation challenges without compromising Sharia principles? Therefore, this study aims to comprehensively analyze the opportunities, challenges, and strategic approaches to digital transformation in Islamic banking as a means of strengthening the competitiveness and long-term sustainability of Indonesia’s Islamic banking industry in the digital economy era.</w:t>
      </w:r>
    </w:p>
    <w:p w14:paraId="27615DE4" w14:textId="7ABECEA9" w:rsidR="00D801B3" w:rsidRPr="00C636DB" w:rsidRDefault="00000000">
      <w:pPr>
        <w:spacing w:before="240" w:after="0" w:line="240" w:lineRule="auto"/>
        <w:rPr>
          <w:rFonts w:ascii="Book Antiqua" w:eastAsia="Book Antiqua" w:hAnsi="Book Antiqua" w:cs="Book Antiqua"/>
          <w:b/>
          <w:color w:val="000000"/>
          <w:sz w:val="24"/>
          <w:szCs w:val="24"/>
        </w:rPr>
      </w:pPr>
      <w:r w:rsidRPr="00C636DB">
        <w:rPr>
          <w:rFonts w:ascii="Book Antiqua" w:eastAsia="Book Antiqua" w:hAnsi="Book Antiqua" w:cs="Book Antiqua"/>
          <w:b/>
          <w:color w:val="000000"/>
          <w:sz w:val="24"/>
          <w:szCs w:val="24"/>
        </w:rPr>
        <w:t>RESEARCH</w:t>
      </w:r>
      <w:r w:rsidR="00C636DB" w:rsidRPr="00C636DB">
        <w:rPr>
          <w:rFonts w:ascii="Book Antiqua" w:eastAsia="Book Antiqua" w:hAnsi="Book Antiqua" w:cs="Book Antiqua"/>
          <w:b/>
          <w:color w:val="000000"/>
          <w:sz w:val="24"/>
          <w:szCs w:val="24"/>
        </w:rPr>
        <w:t xml:space="preserve"> METHOD</w:t>
      </w:r>
    </w:p>
    <w:p w14:paraId="045EAB6B" w14:textId="2FD74925" w:rsidR="00283B7F" w:rsidRPr="00C636DB" w:rsidRDefault="00C636DB">
      <w:pPr>
        <w:spacing w:line="240" w:lineRule="auto"/>
        <w:ind w:firstLine="426"/>
        <w:jc w:val="both"/>
        <w:rPr>
          <w:rFonts w:ascii="Times New Roman" w:hAnsi="Times New Roman" w:cs="Times New Roman"/>
          <w:sz w:val="24"/>
          <w:szCs w:val="24"/>
        </w:rPr>
      </w:pPr>
      <w:r w:rsidRPr="00C636DB">
        <w:rPr>
          <w:rFonts w:ascii="Times New Roman" w:hAnsi="Times New Roman" w:cs="Times New Roman"/>
          <w:sz w:val="24"/>
          <w:szCs w:val="24"/>
        </w:rPr>
        <w:t>This study employs a descriptive qualitative approach using the literature review method. This approach was selected to obtain a comprehensive understanding of digital transformation in Islamic banking, particularly regarding the opportunities, challenges, and strategies adopted in responding to the digital era. A literature review enables researchers to identify, examine, and synthesize findings from previous studies, thereby providing a broader perspective on the development of digitalization within the Islamic banking industry.</w:t>
      </w:r>
      <w:r w:rsidR="00C14EF7" w:rsidRPr="00C636DB">
        <w:rPr>
          <w:rFonts w:ascii="Times New Roman" w:hAnsi="Times New Roman" w:cs="Times New Roman"/>
          <w:sz w:val="24"/>
          <w:szCs w:val="24"/>
        </w:rPr>
        <w:br/>
        <w:t xml:space="preserve">       </w:t>
      </w:r>
      <w:r w:rsidRPr="00C636DB">
        <w:rPr>
          <w:rFonts w:ascii="Times New Roman" w:hAnsi="Times New Roman" w:cs="Times New Roman"/>
          <w:sz w:val="24"/>
          <w:szCs w:val="24"/>
        </w:rPr>
        <w:t>The study relies exclusively on secondary data obtained from national and international scholarly journal articles, conference proceedings, academic books, regulatory reports, and official documents related to the digital transformation of Islamic banking. The literature search was conducted through several academic databases, including Google Scholar, Garuda, Crossref, and other indexed journal portals. The keywords used during the search process included “digital transformation,” “Islamic banking,” “digital banking,” “Islamic banking digitalization,” “Sharia financial technology (FinTech),” and “Islamic financial inclusion.”</w:t>
      </w:r>
      <w:r w:rsidR="00C14EF7" w:rsidRPr="00C636DB">
        <w:rPr>
          <w:rFonts w:ascii="Times New Roman" w:hAnsi="Times New Roman" w:cs="Times New Roman"/>
          <w:sz w:val="24"/>
          <w:szCs w:val="24"/>
        </w:rPr>
        <w:br/>
        <w:t xml:space="preserve">       </w:t>
      </w:r>
      <w:r w:rsidRPr="00C636DB">
        <w:rPr>
          <w:rFonts w:ascii="Times New Roman" w:hAnsi="Times New Roman" w:cs="Times New Roman"/>
          <w:sz w:val="24"/>
          <w:szCs w:val="24"/>
        </w:rPr>
        <w:t xml:space="preserve">The reviewed literature was limited to publications from 2018 to 2025 to ensure that the </w:t>
      </w:r>
      <w:r w:rsidRPr="00C636DB">
        <w:rPr>
          <w:rFonts w:ascii="Times New Roman" w:hAnsi="Times New Roman" w:cs="Times New Roman"/>
          <w:sz w:val="24"/>
          <w:szCs w:val="24"/>
        </w:rPr>
        <w:lastRenderedPageBreak/>
        <w:t>references reflected the latest developments in digital technology. During the initial search, approximately 60 relevant publications were identified. A screening process was subsequently conducted based on title relevance, abstract content, alignment with the research objectives, full-text availability, and source credibility. After applying these selection criteria, 19 key references, consisting of journal articles, conference proceedings, and regulatory reports, were retained for analysis.</w:t>
      </w:r>
      <w:r w:rsidR="00C14EF7" w:rsidRPr="00C636DB">
        <w:rPr>
          <w:rFonts w:ascii="Times New Roman" w:hAnsi="Times New Roman" w:cs="Times New Roman"/>
          <w:sz w:val="24"/>
          <w:szCs w:val="24"/>
        </w:rPr>
        <w:br/>
        <w:t xml:space="preserve">      </w:t>
      </w:r>
      <w:r w:rsidRPr="00C636DB">
        <w:rPr>
          <w:rFonts w:ascii="Times New Roman" w:hAnsi="Times New Roman" w:cs="Times New Roman"/>
          <w:sz w:val="24"/>
          <w:szCs w:val="24"/>
        </w:rPr>
        <w:t>The data were analyzed through three stages: data reduction, categorization, and literature synthesis. Each selected source was examined to identify the main themes related to the opportunities presented by the digitalization of Islamic banking, the challenges encountered during digital transformation, and the strategies that can be implemented to enhance the competitiveness of the Islamic banking industry. The findings were then systematically synthesized to produce comprehensive conclusions regarding the current state of digital transformation in Indonesia’s Islamic banking sector and to formulate strategic recommendations that are aligned with both the evolving digital economy and the principles of Sharia.</w:t>
      </w:r>
    </w:p>
    <w:p w14:paraId="750367CE" w14:textId="77777777" w:rsidR="00D801B3" w:rsidRDefault="00000000">
      <w:pPr>
        <w:spacing w:before="240" w:after="0" w:line="240" w:lineRule="auto"/>
        <w:rPr>
          <w:rFonts w:ascii="Book Antiqua" w:eastAsia="Book Antiqua" w:hAnsi="Book Antiqua" w:cs="Book Antiqua"/>
          <w:b/>
          <w:color w:val="000000"/>
          <w:sz w:val="24"/>
          <w:szCs w:val="24"/>
        </w:rPr>
      </w:pPr>
      <w:commentRangeStart w:id="1"/>
      <w:r>
        <w:rPr>
          <w:rFonts w:ascii="Book Antiqua" w:eastAsia="Book Antiqua" w:hAnsi="Book Antiqua" w:cs="Book Antiqua"/>
          <w:b/>
          <w:color w:val="000000"/>
          <w:sz w:val="24"/>
          <w:szCs w:val="24"/>
        </w:rPr>
        <w:t>RESULT AND DISCUSSION</w:t>
      </w:r>
      <w:commentRangeEnd w:id="1"/>
      <w:r w:rsidR="00C14EF7">
        <w:rPr>
          <w:rStyle w:val="CommentReference"/>
          <w:rFonts w:ascii="Book Antiqua" w:eastAsia="Book Antiqua" w:hAnsi="Book Antiqua" w:cs="Book Antiqua"/>
          <w:b/>
          <w:color w:val="000000"/>
          <w:sz w:val="24"/>
          <w:szCs w:val="24"/>
        </w:rPr>
        <w:commentReference w:id="1"/>
      </w:r>
    </w:p>
    <w:p w14:paraId="1623C705" w14:textId="164DA992" w:rsidR="00283B7F" w:rsidRPr="00C636DB" w:rsidRDefault="00C636DB" w:rsidP="00283B7F">
      <w:pPr>
        <w:pStyle w:val="ListParagraph"/>
        <w:numPr>
          <w:ilvl w:val="0"/>
          <w:numId w:val="1"/>
        </w:numPr>
        <w:spacing w:after="160" w:line="240" w:lineRule="auto"/>
        <w:ind w:left="426"/>
        <w:jc w:val="both"/>
        <w:rPr>
          <w:rFonts w:ascii="Times New Roman" w:hAnsi="Times New Roman" w:cs="Times New Roman"/>
          <w:sz w:val="24"/>
          <w:szCs w:val="24"/>
        </w:rPr>
      </w:pPr>
      <w:r w:rsidRPr="00C636DB">
        <w:rPr>
          <w:rFonts w:ascii="Times New Roman" w:hAnsi="Times New Roman" w:cs="Times New Roman"/>
          <w:sz w:val="24"/>
          <w:szCs w:val="24"/>
        </w:rPr>
        <w:t>Opportunities for the Digitalization of Islamic Banking</w:t>
      </w:r>
    </w:p>
    <w:p w14:paraId="7596D272" w14:textId="7FC36F72" w:rsidR="00283B7F" w:rsidRPr="00C636DB" w:rsidRDefault="00C636DB" w:rsidP="00283B7F">
      <w:pPr>
        <w:pStyle w:val="ListParagraph"/>
        <w:numPr>
          <w:ilvl w:val="0"/>
          <w:numId w:val="2"/>
        </w:numPr>
        <w:spacing w:after="160" w:line="240" w:lineRule="auto"/>
        <w:jc w:val="both"/>
        <w:rPr>
          <w:rFonts w:ascii="Times New Roman" w:hAnsi="Times New Roman" w:cs="Times New Roman"/>
          <w:sz w:val="24"/>
          <w:szCs w:val="24"/>
        </w:rPr>
      </w:pPr>
      <w:r w:rsidRPr="00C636DB">
        <w:rPr>
          <w:rFonts w:ascii="Times New Roman" w:hAnsi="Times New Roman" w:cs="Times New Roman"/>
          <w:sz w:val="24"/>
          <w:szCs w:val="24"/>
        </w:rPr>
        <w:t>Expanding Access to and Inclusion in Islamic Financial Services</w:t>
      </w:r>
    </w:p>
    <w:p w14:paraId="36145221" w14:textId="43B2944B" w:rsidR="00283B7F" w:rsidRPr="00C636DB" w:rsidRDefault="00C636DB" w:rsidP="00283B7F">
      <w:pPr>
        <w:pStyle w:val="ListParagraph"/>
        <w:spacing w:line="240" w:lineRule="auto"/>
        <w:ind w:firstLine="284"/>
        <w:jc w:val="both"/>
        <w:rPr>
          <w:rFonts w:ascii="Times New Roman" w:hAnsi="Times New Roman" w:cs="Times New Roman"/>
          <w:sz w:val="24"/>
          <w:szCs w:val="24"/>
        </w:rPr>
      </w:pPr>
      <w:r w:rsidRPr="00C636DB">
        <w:rPr>
          <w:rFonts w:ascii="Times New Roman" w:eastAsia="Times New Roman" w:hAnsi="Times New Roman" w:cs="Times New Roman"/>
          <w:sz w:val="24"/>
          <w:szCs w:val="24"/>
        </w:rPr>
        <w:t>The digitalization of Islamic financial services plays a strategic role in expanding public access to Sharia-compliant financial products and services, particularly for unbanked and underserved populations. With Indonesia's increasing internet penetration and widespread ownership of mobile devices, Islamic banks have significant opportunities to overcome the geographical and social barriers that have traditionally limited financial access. Technology-based services such as Islamic mobile banking, digital onboarding (online account opening), and Sharia-compliant QRIS payment systems have become essential instruments for delivering financial services that are inclusive, efficient, and accessible, even in rural and remote island communities (Zulkipli et al., 2025)</w:t>
      </w:r>
      <w:r w:rsidR="00283B7F" w:rsidRPr="00C636DB">
        <w:rPr>
          <w:rFonts w:ascii="Times New Roman" w:eastAsia="Times New Roman" w:hAnsi="Times New Roman" w:cs="Times New Roman"/>
          <w:sz w:val="24"/>
          <w:szCs w:val="24"/>
        </w:rPr>
        <w:t>.</w:t>
      </w:r>
    </w:p>
    <w:p w14:paraId="449F996D" w14:textId="4C6A2831" w:rsidR="00283B7F" w:rsidRPr="00C636DB" w:rsidRDefault="00C636DB" w:rsidP="00283B7F">
      <w:pPr>
        <w:pStyle w:val="ListParagraph"/>
        <w:spacing w:before="100" w:beforeAutospacing="1" w:after="100" w:afterAutospacing="1" w:line="240" w:lineRule="auto"/>
        <w:ind w:firstLine="284"/>
        <w:jc w:val="both"/>
        <w:rPr>
          <w:rFonts w:ascii="Times New Roman" w:eastAsia="Times New Roman" w:hAnsi="Times New Roman" w:cs="Times New Roman"/>
          <w:sz w:val="24"/>
          <w:szCs w:val="24"/>
        </w:rPr>
      </w:pPr>
      <w:r w:rsidRPr="00C636DB">
        <w:rPr>
          <w:rFonts w:ascii="Times New Roman" w:eastAsia="Times New Roman" w:hAnsi="Times New Roman" w:cs="Times New Roman"/>
          <w:sz w:val="24"/>
          <w:szCs w:val="24"/>
        </w:rPr>
        <w:t>This digital transformation extends beyond increasing the number of service users; it also seeks to empower the Muslim community economically. Innovations such as digital account opening based on wadi'ah or mudharabah contracts, digital access to microfinancing through murabahah and ijarah contracts, and the digitalization of zakat, infaq, and sadaqah (ZIS) demonstrate how digital technologies can effectively connect the financial needs of low-income communities with a formal, transparent, and accountable Islamic financial system. Consequently, digitalization has the potential to foster an Islamic financial ecosystem that not only enhances financial inclusion but also promotes economic development grounded in the principles of justice and sustainability</w:t>
      </w:r>
      <w:r w:rsidR="00283B7F" w:rsidRPr="00C636DB">
        <w:rPr>
          <w:rFonts w:ascii="Times New Roman" w:eastAsia="Times New Roman" w:hAnsi="Times New Roman" w:cs="Times New Roman"/>
          <w:sz w:val="24"/>
          <w:szCs w:val="24"/>
        </w:rPr>
        <w:t>.</w:t>
      </w:r>
    </w:p>
    <w:p w14:paraId="39CDB17B" w14:textId="323760B1" w:rsidR="00283B7F" w:rsidRPr="00C636DB" w:rsidRDefault="00C636DB" w:rsidP="00283B7F">
      <w:pPr>
        <w:pStyle w:val="ListParagraph"/>
        <w:spacing w:before="100" w:beforeAutospacing="1" w:after="100" w:afterAutospacing="1" w:line="240" w:lineRule="auto"/>
        <w:ind w:firstLine="284"/>
        <w:jc w:val="both"/>
        <w:rPr>
          <w:rFonts w:ascii="Times New Roman" w:eastAsia="Times New Roman" w:hAnsi="Times New Roman" w:cs="Times New Roman"/>
          <w:sz w:val="24"/>
          <w:szCs w:val="24"/>
        </w:rPr>
      </w:pPr>
      <w:r w:rsidRPr="00C636DB">
        <w:rPr>
          <w:rFonts w:ascii="Times New Roman" w:eastAsia="Times New Roman" w:hAnsi="Times New Roman" w:cs="Times New Roman"/>
          <w:sz w:val="24"/>
          <w:szCs w:val="24"/>
        </w:rPr>
        <w:t xml:space="preserve">These findings are supported by the study of Setyaningrat et al. (2023), which demonstrates that digital strategies developed in accordance with the Technology Acceptance Model (TAM) significantly increase young people's participation in Islamic financial services by improving perceived ease of use, perceived usefulness, and trust in Sharia principles. Similarly, Fitri et al. (2023) argue that digitalization enables Islamic banks to expand their service coverage without the need to establish additional physical infrastructure, thereby improving both operational efficiency and </w:t>
      </w:r>
      <w:r w:rsidRPr="00C636DB">
        <w:rPr>
          <w:rFonts w:ascii="Times New Roman" w:eastAsia="Times New Roman" w:hAnsi="Times New Roman" w:cs="Times New Roman"/>
          <w:sz w:val="24"/>
          <w:szCs w:val="24"/>
        </w:rPr>
        <w:lastRenderedPageBreak/>
        <w:t>financial inclusion. Accordingly, digital transformation should be viewed not merely as a process of technological modernization but also as a strategic instrument for advancing the principles of Islamic economics in response to the evolving needs of contemporary society.</w:t>
      </w:r>
    </w:p>
    <w:p w14:paraId="67A46CEF" w14:textId="35EAB3A5" w:rsidR="00CF38DB" w:rsidRPr="00C636DB" w:rsidRDefault="00C636DB" w:rsidP="00CF38DB">
      <w:pPr>
        <w:pStyle w:val="ListParagraph"/>
        <w:spacing w:before="100" w:beforeAutospacing="1" w:after="100" w:afterAutospacing="1" w:line="240" w:lineRule="auto"/>
        <w:ind w:firstLine="284"/>
        <w:jc w:val="both"/>
        <w:rPr>
          <w:rFonts w:ascii="Times New Roman" w:eastAsia="Times New Roman" w:hAnsi="Times New Roman" w:cs="Times New Roman"/>
          <w:sz w:val="24"/>
          <w:szCs w:val="24"/>
        </w:rPr>
      </w:pPr>
      <w:r w:rsidRPr="00C636DB">
        <w:rPr>
          <w:rFonts w:ascii="Times New Roman" w:eastAsia="Times New Roman" w:hAnsi="Times New Roman" w:cs="Times New Roman"/>
          <w:sz w:val="24"/>
          <w:szCs w:val="24"/>
        </w:rPr>
        <w:t>These findings indicate that digitalization plays a crucial role in expanding the reach of Islamic banking services beyond geographical limitations. This presents a strategic opportunity for Indonesia's Islamic banking industry to enhance financial inclusion while strengthening its contribution to ensuring equitable access to Sharia-compliant financial services across the country.</w:t>
      </w:r>
    </w:p>
    <w:p w14:paraId="231E8F15" w14:textId="0891F54D" w:rsidR="00283B7F" w:rsidRPr="00DD6A2A" w:rsidRDefault="005C0464" w:rsidP="00283B7F">
      <w:pPr>
        <w:pStyle w:val="ListParagraph"/>
        <w:numPr>
          <w:ilvl w:val="0"/>
          <w:numId w:val="2"/>
        </w:numPr>
        <w:spacing w:after="160" w:line="240" w:lineRule="auto"/>
        <w:jc w:val="both"/>
        <w:rPr>
          <w:rFonts w:ascii="Times New Roman" w:hAnsi="Times New Roman" w:cs="Times New Roman"/>
          <w:sz w:val="24"/>
          <w:szCs w:val="24"/>
        </w:rPr>
      </w:pPr>
      <w:r w:rsidRPr="005C0464">
        <w:rPr>
          <w:rFonts w:ascii="Times New Roman" w:hAnsi="Times New Roman" w:cs="Times New Roman"/>
          <w:sz w:val="24"/>
          <w:szCs w:val="24"/>
        </w:rPr>
        <w:t>Operational Efficiency and Service Excellence</w:t>
      </w:r>
    </w:p>
    <w:p w14:paraId="6663D279" w14:textId="2B55A5E1" w:rsidR="00283B7F" w:rsidRPr="005C0464" w:rsidRDefault="005C0464" w:rsidP="00283B7F">
      <w:pPr>
        <w:pStyle w:val="ListParagraph"/>
        <w:spacing w:before="100" w:beforeAutospacing="1" w:after="100" w:afterAutospacing="1" w:line="240" w:lineRule="auto"/>
        <w:ind w:firstLine="284"/>
        <w:jc w:val="both"/>
        <w:rPr>
          <w:rFonts w:ascii="Times New Roman" w:eastAsia="Times New Roman" w:hAnsi="Times New Roman" w:cs="Times New Roman"/>
          <w:sz w:val="24"/>
          <w:szCs w:val="24"/>
        </w:rPr>
      </w:pPr>
      <w:r w:rsidRPr="005C0464">
        <w:rPr>
          <w:rFonts w:ascii="Times New Roman" w:eastAsia="Times New Roman" w:hAnsi="Times New Roman" w:cs="Times New Roman"/>
          <w:sz w:val="24"/>
          <w:szCs w:val="24"/>
        </w:rPr>
        <w:t>Digital transformation in Islamic banking not only expands public access to financial services but also significantly improves the efficiency of internal operational processes. The strategic adoption of information technology—including integrated core banking systems, electronic signatures (e-signatures), automated financing processes, as well as big data and predictive analytics—has transformed conventional banking operations into processes that are faster, more accurate, and more cost-effective. These efficiencies enable Islamic banks to serve a larger customer base with a leaner workforce while simultaneously enhancing service quality and data accuracy. In an increasingly competitive banking industry, operational efficiency has become a fundamental pillar for maintaining the sustainability and competitiveness of Islamic banking institutions in the digital era</w:t>
      </w:r>
      <w:r>
        <w:rPr>
          <w:rFonts w:ascii="Times New Roman" w:eastAsia="Times New Roman" w:hAnsi="Times New Roman" w:cs="Times New Roman"/>
          <w:sz w:val="24"/>
          <w:szCs w:val="24"/>
        </w:rPr>
        <w:t>.</w:t>
      </w:r>
    </w:p>
    <w:p w14:paraId="1C21E2A3" w14:textId="02E734FA" w:rsidR="00C14EF7" w:rsidRPr="005C0464" w:rsidRDefault="005C0464" w:rsidP="00C14EF7">
      <w:pPr>
        <w:pStyle w:val="ListParagraph"/>
        <w:spacing w:before="100" w:beforeAutospacing="1" w:after="100" w:afterAutospacing="1" w:line="240" w:lineRule="auto"/>
        <w:ind w:firstLine="284"/>
        <w:jc w:val="both"/>
        <w:rPr>
          <w:rFonts w:ascii="Times New Roman" w:eastAsia="Times New Roman" w:hAnsi="Times New Roman" w:cs="Times New Roman"/>
          <w:sz w:val="24"/>
          <w:szCs w:val="24"/>
        </w:rPr>
      </w:pPr>
      <w:r w:rsidRPr="005C0464">
        <w:rPr>
          <w:rFonts w:ascii="Times New Roman" w:eastAsia="Times New Roman" w:hAnsi="Times New Roman" w:cs="Times New Roman"/>
          <w:sz w:val="24"/>
          <w:szCs w:val="24"/>
        </w:rPr>
        <w:t>A practical example of this transformation can be observed in the digital service innovations introduced by Bank Syariah Indonesia (BSI). Through the development of the BSI Mobile application, customers are now able to open accounts, access Sharia-compliant financing, pay zakat, infaq, and sadaqah, and conduct daily financial transactions entirely online without visiting a branch office. This innovation not only enhances customer convenience and overall user experience but also substantially reduces the bank's operational costs, particularly in areas such as logistics, physical document management, and face-to-face service delivery. Research by Bella and Himmawan (2021) found that implementing digital services in Islamic commercial banks reduced operational expenses by 18% while accelerating transaction processing times by 35%. Furthermore, the introduction of user-friendly features such as peek balance and automatic zakat debit, as reported by Rista (2022), has contributed to increased customer engagement while improving the efficiency of daily transaction management. Therefore, digitalization should be regarded not merely as an operational support tool but as a strategic instrument for delivering superior, efficient, and Sharia-compliant financial services.</w:t>
      </w:r>
    </w:p>
    <w:p w14:paraId="5465E5C7" w14:textId="1312324F" w:rsidR="00283B7F" w:rsidRPr="005C0464" w:rsidRDefault="005C0464" w:rsidP="00283B7F">
      <w:pPr>
        <w:pStyle w:val="ListParagraph"/>
        <w:numPr>
          <w:ilvl w:val="0"/>
          <w:numId w:val="2"/>
        </w:numPr>
        <w:spacing w:after="0" w:line="240" w:lineRule="auto"/>
        <w:jc w:val="both"/>
        <w:rPr>
          <w:rFonts w:ascii="Times New Roman" w:eastAsia="Times New Roman" w:hAnsi="Times New Roman" w:cs="Times New Roman"/>
          <w:sz w:val="24"/>
          <w:szCs w:val="24"/>
        </w:rPr>
      </w:pPr>
      <w:r w:rsidRPr="005C0464">
        <w:rPr>
          <w:rFonts w:ascii="Times New Roman" w:eastAsia="Times New Roman" w:hAnsi="Times New Roman" w:cs="Times New Roman"/>
          <w:sz w:val="24"/>
          <w:szCs w:val="24"/>
        </w:rPr>
        <w:t>Technology-Driven Innovation in Islamic Financial Products</w:t>
      </w:r>
    </w:p>
    <w:p w14:paraId="642CF15C" w14:textId="0DADE315" w:rsidR="00283B7F" w:rsidRPr="005C0464" w:rsidRDefault="005C0464" w:rsidP="00283B7F">
      <w:pPr>
        <w:pStyle w:val="ListParagraph"/>
        <w:spacing w:before="100" w:beforeAutospacing="1" w:after="100" w:afterAutospacing="1" w:line="240" w:lineRule="auto"/>
        <w:ind w:firstLine="284"/>
        <w:jc w:val="both"/>
        <w:rPr>
          <w:rFonts w:ascii="Times New Roman" w:eastAsia="Times New Roman" w:hAnsi="Times New Roman" w:cs="Times New Roman"/>
          <w:sz w:val="24"/>
          <w:szCs w:val="24"/>
        </w:rPr>
      </w:pPr>
      <w:r w:rsidRPr="005C0464">
        <w:rPr>
          <w:rFonts w:ascii="Times New Roman" w:eastAsia="Times New Roman" w:hAnsi="Times New Roman" w:cs="Times New Roman"/>
          <w:sz w:val="24"/>
          <w:szCs w:val="24"/>
        </w:rPr>
        <w:t xml:space="preserve">In addition to improving service efficiency, digital transformation has also stimulated the development of innovative Islamic financial products that are adaptive and responsive to the needs of modern society. Various Sharia-compliant financial products can now be developed and delivered through digital platforms, enabling the integration of Islamic financial principles, technological convenience, and the social values of worship within a single ecosystem. Products such as e-mudharabah (digital profit-sharing financing), e-waqf (online cash waqf), mobile zakat (zakat payment via mobile applications), and Sharia-compliant crowdfunding platforms have created new </w:t>
      </w:r>
      <w:r w:rsidRPr="005C0464">
        <w:rPr>
          <w:rFonts w:ascii="Times New Roman" w:eastAsia="Times New Roman" w:hAnsi="Times New Roman" w:cs="Times New Roman"/>
          <w:sz w:val="24"/>
          <w:szCs w:val="24"/>
        </w:rPr>
        <w:lastRenderedPageBreak/>
        <w:t>opportunities for managing community funds in a manner that is more transparent, accountable, and accessible to all segments of society.</w:t>
      </w:r>
    </w:p>
    <w:p w14:paraId="2B34501B" w14:textId="2D6F528C" w:rsidR="00283B7F" w:rsidRPr="005C0464" w:rsidRDefault="005C0464" w:rsidP="00283B7F">
      <w:pPr>
        <w:pStyle w:val="ListParagraph"/>
        <w:spacing w:before="100" w:beforeAutospacing="1" w:after="100" w:afterAutospacing="1" w:line="240" w:lineRule="auto"/>
        <w:ind w:firstLine="284"/>
        <w:jc w:val="both"/>
        <w:rPr>
          <w:rFonts w:ascii="Times New Roman" w:eastAsia="Times New Roman" w:hAnsi="Times New Roman" w:cs="Times New Roman"/>
          <w:sz w:val="24"/>
          <w:szCs w:val="24"/>
        </w:rPr>
      </w:pPr>
      <w:r w:rsidRPr="005C0464">
        <w:rPr>
          <w:rFonts w:ascii="Times New Roman" w:eastAsia="Times New Roman" w:hAnsi="Times New Roman" w:cs="Times New Roman"/>
          <w:sz w:val="24"/>
          <w:szCs w:val="24"/>
        </w:rPr>
        <w:t>These innovations are further strengthened by the adoption of blockchain technology and smart contracts within the Islamic digital financial system, ensuring that Sharia contracts (akad) are executed automatically, securely, and without the risk of manipulation. For example, digital cash waqf platforms enable individuals to contribute waqf funds in small amounts in real time while providing transparent reporting that allows donors to monitor fund allocation directly. Likewise, crowdfunding platforms based on musyarakah and mudharabah contracts have emerged as alternative financing channels for halal micro-enterprises that have traditionally faced difficulties in accessing conventional bank financing. Dwi et al. (2021) explain that digital innovation in Islamic financial products makes a significant contribution to achieving the objectives of Maqashid al-Shariah, particularly in protecting wealth (hifz al-mal) and enhancing social welfare. This finding is consistent with Jihad et al. (2022), who demonstrate that the use of Sharia-compliant digital platforms for microfinance has increased community participation in productive and halal economic activities. Therefore, digital innovation in Islamic financial products not only expands their economic function but also strengthens the spiritual and social dimensions of Islamic finance in an integrated manner.</w:t>
      </w:r>
    </w:p>
    <w:p w14:paraId="10F1F50D" w14:textId="65667D01" w:rsidR="00283B7F" w:rsidRPr="005C0464" w:rsidRDefault="005C0464" w:rsidP="00283B7F">
      <w:pPr>
        <w:pStyle w:val="ListParagraph"/>
        <w:numPr>
          <w:ilvl w:val="0"/>
          <w:numId w:val="1"/>
        </w:numPr>
        <w:spacing w:after="160" w:line="240" w:lineRule="auto"/>
        <w:ind w:left="426"/>
        <w:jc w:val="both"/>
        <w:rPr>
          <w:rFonts w:ascii="Times New Roman" w:hAnsi="Times New Roman" w:cs="Times New Roman"/>
          <w:sz w:val="24"/>
          <w:szCs w:val="24"/>
        </w:rPr>
      </w:pPr>
      <w:r w:rsidRPr="005C0464">
        <w:rPr>
          <w:rFonts w:ascii="Times New Roman" w:hAnsi="Times New Roman" w:cs="Times New Roman"/>
          <w:sz w:val="24"/>
          <w:szCs w:val="24"/>
        </w:rPr>
        <w:t>Challenges of Digital Transformation in Islamic Banking</w:t>
      </w:r>
    </w:p>
    <w:p w14:paraId="2D52B403" w14:textId="24FBC046" w:rsidR="00283B7F" w:rsidRPr="005C0464" w:rsidRDefault="005C0464" w:rsidP="00283B7F">
      <w:pPr>
        <w:pStyle w:val="ListParagraph"/>
        <w:numPr>
          <w:ilvl w:val="0"/>
          <w:numId w:val="3"/>
        </w:numPr>
        <w:spacing w:after="160" w:line="240" w:lineRule="auto"/>
        <w:jc w:val="both"/>
        <w:rPr>
          <w:rFonts w:ascii="Times New Roman" w:hAnsi="Times New Roman" w:cs="Times New Roman"/>
          <w:sz w:val="24"/>
          <w:szCs w:val="24"/>
        </w:rPr>
      </w:pPr>
      <w:r w:rsidRPr="005C0464">
        <w:rPr>
          <w:rFonts w:ascii="Times New Roman" w:hAnsi="Times New Roman" w:cs="Times New Roman"/>
          <w:sz w:val="24"/>
          <w:szCs w:val="24"/>
        </w:rPr>
        <w:t>Regulatory Framework and Sharia Compliance</w:t>
      </w:r>
    </w:p>
    <w:p w14:paraId="58D0AB15" w14:textId="0114D882" w:rsidR="00283B7F" w:rsidRPr="005C0464" w:rsidRDefault="005C0464" w:rsidP="00283B7F">
      <w:pPr>
        <w:pStyle w:val="ListParagraph"/>
        <w:spacing w:line="240" w:lineRule="auto"/>
        <w:ind w:left="709" w:firstLine="360"/>
        <w:jc w:val="both"/>
        <w:rPr>
          <w:rFonts w:ascii="Times New Roman" w:hAnsi="Times New Roman" w:cs="Times New Roman"/>
          <w:sz w:val="24"/>
          <w:szCs w:val="24"/>
        </w:rPr>
      </w:pPr>
      <w:r w:rsidRPr="005C0464">
        <w:rPr>
          <w:rFonts w:ascii="Times New Roman" w:hAnsi="Times New Roman" w:cs="Times New Roman"/>
          <w:sz w:val="24"/>
          <w:szCs w:val="24"/>
        </w:rPr>
        <w:t>Digital transformation in Islamic banking requires not only technological readiness but also a regulatory framework that is sufficiently flexible to keep pace with rapid technological innovation. A major challenge arises because existing banking regulations and Sharia rulings (fatwas) have not yet fully adapted to emerging technologies such as blockchain, smart contracts, and Sharia-compliant e-wallets. This regulatory gap slows the adoption of innovation and creates legal uncertainty. The imbalance between rapid technological advancement and the relatively conservative pace of Islamic legal interpretation (ijtihad) has become a significant obstacle to the development of a competitive Islamic digital financial ecosystem.</w:t>
      </w:r>
    </w:p>
    <w:p w14:paraId="58403638" w14:textId="04CD1C80" w:rsidR="00283B7F" w:rsidRPr="005C0464" w:rsidRDefault="005C0464" w:rsidP="00283B7F">
      <w:pPr>
        <w:pStyle w:val="ListParagraph"/>
        <w:spacing w:line="240" w:lineRule="auto"/>
        <w:ind w:left="709" w:firstLine="360"/>
        <w:jc w:val="both"/>
        <w:rPr>
          <w:rFonts w:ascii="Times New Roman" w:hAnsi="Times New Roman" w:cs="Times New Roman"/>
          <w:sz w:val="24"/>
          <w:szCs w:val="24"/>
        </w:rPr>
      </w:pPr>
      <w:r w:rsidRPr="005C0464">
        <w:rPr>
          <w:rFonts w:ascii="Times New Roman" w:hAnsi="Times New Roman" w:cs="Times New Roman"/>
          <w:sz w:val="24"/>
          <w:szCs w:val="24"/>
        </w:rPr>
        <w:t>Research by Firdaus et al. (2021) suggests that the stagnation of Sharia rulings and the inadequacy of the legal framework in responding to digital innovation have made Islamic banks more cautious in adopting new technologies. The authors emphasize the need for a regulatory sandbox specifically designed for the Islamic financial sector, providing a controlled environment for testing innovative financial solutions while ensuring compliance with Sharia principles. Such a sandbox would facilitate controlled experimentation, minimizing the risk of violating Sharia principles while simultaneously accelerating technological innovation.</w:t>
      </w:r>
    </w:p>
    <w:p w14:paraId="326CEA45" w14:textId="6EB87354" w:rsidR="00283B7F" w:rsidRPr="005C0464" w:rsidRDefault="005C0464" w:rsidP="00283B7F">
      <w:pPr>
        <w:pStyle w:val="ListParagraph"/>
        <w:spacing w:line="240" w:lineRule="auto"/>
        <w:ind w:left="709" w:firstLine="360"/>
        <w:jc w:val="both"/>
        <w:rPr>
          <w:rFonts w:ascii="Times New Roman" w:hAnsi="Times New Roman" w:cs="Times New Roman"/>
          <w:sz w:val="24"/>
          <w:szCs w:val="24"/>
        </w:rPr>
      </w:pPr>
      <w:r w:rsidRPr="005C0464">
        <w:rPr>
          <w:rFonts w:ascii="Times New Roman" w:hAnsi="Times New Roman" w:cs="Times New Roman"/>
          <w:sz w:val="24"/>
          <w:szCs w:val="24"/>
        </w:rPr>
        <w:t xml:space="preserve">These findings are consistent with Baidhowi (2018), who highlights the delayed harmonization between Sharia principles and the regulatory frameworks established by Indonesia's Financial Services Authority (OJK) and Bank Indonesia (BI) for digital banking products. The study argues that Sharia rulings should not rely solely on classical Islamic jurisprudence but should also consider the realities of contemporary technological developments to remain practical and avoid unnecessarily restricting innovation. In this regard, maqashid-based ijtihad—an approach grounded in the objectives of Islamic law (Maqashid al-Shariah)—offers a viable solution for bridging </w:t>
      </w:r>
      <w:r w:rsidRPr="005C0464">
        <w:rPr>
          <w:rFonts w:ascii="Times New Roman" w:hAnsi="Times New Roman" w:cs="Times New Roman"/>
          <w:sz w:val="24"/>
          <w:szCs w:val="24"/>
        </w:rPr>
        <w:lastRenderedPageBreak/>
        <w:t>the gap between the rigidity of classical jurisprudence and the demands of modern digitalization. Harmonization among the fatwas issued by the National Sharia Council of the Indonesian Ulema Council (DSN-MUI), financial regulations, and developments within the Islamic financial technology industry is therefore essential to ensuring both the sustainability and integrity of the digital Islamic financial system.</w:t>
      </w:r>
    </w:p>
    <w:p w14:paraId="46B84D42" w14:textId="1F8300B7" w:rsidR="00C14EF7" w:rsidRPr="005C0464" w:rsidRDefault="005C0464" w:rsidP="00C14EF7">
      <w:pPr>
        <w:pStyle w:val="ListParagraph"/>
        <w:spacing w:line="240" w:lineRule="auto"/>
        <w:ind w:left="709" w:firstLine="360"/>
        <w:jc w:val="both"/>
        <w:rPr>
          <w:rFonts w:ascii="Times New Roman" w:hAnsi="Times New Roman" w:cs="Times New Roman"/>
          <w:sz w:val="24"/>
          <w:szCs w:val="24"/>
        </w:rPr>
      </w:pPr>
      <w:r w:rsidRPr="005C0464">
        <w:rPr>
          <w:rFonts w:ascii="Times New Roman" w:hAnsi="Times New Roman" w:cs="Times New Roman"/>
          <w:sz w:val="24"/>
          <w:szCs w:val="24"/>
        </w:rPr>
        <w:t>These findings indicate that the primary challenge facing the digital transformation of Islamic banking lies not only in technological advancement but also in the ability of regulatory frameworks and Sharia legal instruments to adapt swiftly to emerging digital innovations. Therefore, more adaptive regulations grounded in the principles of Maqashid al-Shariah are required to support innovation while preserving compliance with the fundamental principles of Islamic finance.</w:t>
      </w:r>
    </w:p>
    <w:p w14:paraId="17643070" w14:textId="02DBC5C9" w:rsidR="00283B7F" w:rsidRPr="00CB24BE" w:rsidRDefault="005C0464" w:rsidP="00283B7F">
      <w:pPr>
        <w:pStyle w:val="ListParagraph"/>
        <w:numPr>
          <w:ilvl w:val="0"/>
          <w:numId w:val="3"/>
        </w:numPr>
        <w:spacing w:after="160" w:line="240" w:lineRule="auto"/>
        <w:jc w:val="both"/>
        <w:rPr>
          <w:rFonts w:ascii="Times New Roman" w:hAnsi="Times New Roman" w:cs="Times New Roman"/>
          <w:sz w:val="24"/>
          <w:szCs w:val="24"/>
        </w:rPr>
      </w:pPr>
      <w:r w:rsidRPr="005C0464">
        <w:rPr>
          <w:rFonts w:ascii="Times New Roman" w:hAnsi="Times New Roman" w:cs="Times New Roman"/>
          <w:sz w:val="24"/>
          <w:szCs w:val="24"/>
        </w:rPr>
        <w:t>Data Security and Cyber Risks</w:t>
      </w:r>
    </w:p>
    <w:p w14:paraId="79A2E438" w14:textId="5C05C8B7" w:rsidR="00283B7F" w:rsidRPr="005C0464" w:rsidRDefault="005C0464" w:rsidP="00283B7F">
      <w:pPr>
        <w:pStyle w:val="ListParagraph"/>
        <w:spacing w:line="240" w:lineRule="auto"/>
        <w:ind w:left="709" w:firstLine="360"/>
        <w:jc w:val="both"/>
        <w:rPr>
          <w:rFonts w:ascii="Times New Roman" w:hAnsi="Times New Roman" w:cs="Times New Roman"/>
          <w:sz w:val="24"/>
          <w:szCs w:val="24"/>
        </w:rPr>
      </w:pPr>
      <w:r w:rsidRPr="005C0464">
        <w:rPr>
          <w:rFonts w:ascii="Times New Roman" w:hAnsi="Times New Roman" w:cs="Times New Roman"/>
          <w:sz w:val="24"/>
          <w:szCs w:val="24"/>
        </w:rPr>
        <w:t>The implementation of digital transformation in Islamic banking inevitably increases vulnerability to data security threats and cyberattacks. Network-based services such as Islamic mobile banking and internet banking expose institutions to significant risks of personal data breaches and digital fraud. These risks are exacerbated by the limited adoption of multi-layered security systems and the relatively low level of cybersecurity literacy among users of Islamic financial services. Furthermore, the reliance on third-party technologies, including cloud infrastructure and banking APIs, expands the attack surface and requires comprehensive cyber risk management.</w:t>
      </w:r>
    </w:p>
    <w:p w14:paraId="565FB1C1" w14:textId="7AB2F388" w:rsidR="006037C4" w:rsidRPr="005C0464" w:rsidRDefault="005C0464" w:rsidP="006037C4">
      <w:pPr>
        <w:pStyle w:val="ListParagraph"/>
        <w:spacing w:line="240" w:lineRule="auto"/>
        <w:ind w:left="709" w:firstLine="360"/>
        <w:jc w:val="both"/>
        <w:rPr>
          <w:rFonts w:ascii="Times New Roman" w:hAnsi="Times New Roman" w:cs="Times New Roman"/>
          <w:sz w:val="24"/>
          <w:szCs w:val="24"/>
        </w:rPr>
      </w:pPr>
      <w:r w:rsidRPr="005C0464">
        <w:rPr>
          <w:rFonts w:ascii="Times New Roman" w:hAnsi="Times New Roman" w:cs="Times New Roman"/>
          <w:sz w:val="24"/>
          <w:szCs w:val="24"/>
        </w:rPr>
        <w:t>This argument is supported by the study of Cahyono et al. (2024), which highlights that Islamic banks in Indonesia face significant challenges in building customer trust regarding digital data security. Their findings indicate that many Islamic financial institutions have not yet fully implemented the Information Security Management System (ISMS) based on the ISO 27001 standard. Consequently, they remain inadequately prepared to respond to cyber threats such as phishing, malware, and cloud-based data breaches. The situation is further aggravated by suboptimal internal security audits and incident reporting systems that remain reactive rather than preventive.</w:t>
      </w:r>
    </w:p>
    <w:p w14:paraId="7B492370" w14:textId="132A7473" w:rsidR="00283B7F" w:rsidRPr="005C0464" w:rsidRDefault="005C0464" w:rsidP="006037C4">
      <w:pPr>
        <w:pStyle w:val="ListParagraph"/>
        <w:spacing w:line="240" w:lineRule="auto"/>
        <w:ind w:left="709" w:firstLine="360"/>
        <w:jc w:val="both"/>
        <w:rPr>
          <w:rFonts w:ascii="Times New Roman" w:hAnsi="Times New Roman" w:cs="Times New Roman"/>
          <w:sz w:val="24"/>
          <w:szCs w:val="24"/>
        </w:rPr>
      </w:pPr>
      <w:r w:rsidRPr="005C0464">
        <w:rPr>
          <w:rFonts w:ascii="Times New Roman" w:hAnsi="Times New Roman" w:cs="Times New Roman"/>
          <w:sz w:val="24"/>
          <w:szCs w:val="24"/>
        </w:rPr>
        <w:t>Similarly, Nurhaliza et al. (2025) emphasize that customers' trust in Islamic banking is strongly associated with their perception of the integrity of digital systems and the confidentiality of personal data. From an Islamic perspective, data security violations may be regarded as breaches of the principles of amanah (trustworthiness) and maslahah (public benefit), which constitute fundamental values in Islamic financial transactions. Therefore, the ethical and spiritual responsibility of Islamic financial institutions in protecting customer data extends beyond technical compliance and encompasses moral obligations within digital muamalah practices. Accordingly, stronger regulations grounded in maqashid al-shariah, large-scale digital literacy initiatives, and closer collaboration among regulators, academics, and industry practitioners are essential to establish a resilient Islamic banking ecosystem capable of addressing cyber threats.</w:t>
      </w:r>
    </w:p>
    <w:p w14:paraId="25729F3E" w14:textId="0E45B809" w:rsidR="00CF38DB" w:rsidRPr="005C0464" w:rsidRDefault="005C0464" w:rsidP="00CF38DB">
      <w:pPr>
        <w:pStyle w:val="ListParagraph"/>
        <w:spacing w:line="240" w:lineRule="auto"/>
        <w:ind w:left="709" w:firstLine="360"/>
        <w:jc w:val="both"/>
        <w:rPr>
          <w:rFonts w:ascii="Times New Roman" w:hAnsi="Times New Roman" w:cs="Times New Roman"/>
          <w:sz w:val="24"/>
          <w:szCs w:val="24"/>
        </w:rPr>
      </w:pPr>
      <w:r w:rsidRPr="005C0464">
        <w:rPr>
          <w:rFonts w:ascii="Times New Roman" w:hAnsi="Times New Roman" w:cs="Times New Roman"/>
          <w:sz w:val="24"/>
          <w:szCs w:val="24"/>
        </w:rPr>
        <w:t>These findings indicate that data security is a critical determinant of customer trust in Islamic digital banking services. Therefore, strengthening cybersecurity infrastructure and enhancing data protection mechanisms should become strategic priorities to ensure that digital transformation can be implemented sustainably and in accordance with Islamic principles.</w:t>
      </w:r>
    </w:p>
    <w:p w14:paraId="3FE17301" w14:textId="25CC21EF" w:rsidR="00283B7F" w:rsidRPr="00CB24BE" w:rsidRDefault="005C0464" w:rsidP="00283B7F">
      <w:pPr>
        <w:pStyle w:val="ListParagraph"/>
        <w:numPr>
          <w:ilvl w:val="0"/>
          <w:numId w:val="3"/>
        </w:numPr>
        <w:spacing w:after="160" w:line="240" w:lineRule="auto"/>
        <w:jc w:val="both"/>
        <w:rPr>
          <w:rFonts w:ascii="Times New Roman" w:hAnsi="Times New Roman" w:cs="Times New Roman"/>
          <w:sz w:val="24"/>
          <w:szCs w:val="24"/>
        </w:rPr>
      </w:pPr>
      <w:r w:rsidRPr="005C0464">
        <w:rPr>
          <w:rFonts w:ascii="Times New Roman" w:hAnsi="Times New Roman" w:cs="Times New Roman"/>
          <w:sz w:val="24"/>
          <w:szCs w:val="24"/>
        </w:rPr>
        <w:t>Infrastructure and Human Resource Readiness</w:t>
      </w:r>
    </w:p>
    <w:p w14:paraId="4705B5D2" w14:textId="46842CE2" w:rsidR="00283B7F" w:rsidRPr="005C0464" w:rsidRDefault="005C0464" w:rsidP="00283B7F">
      <w:pPr>
        <w:pStyle w:val="ListParagraph"/>
        <w:spacing w:line="240" w:lineRule="auto"/>
        <w:ind w:left="709" w:firstLine="360"/>
        <w:jc w:val="both"/>
        <w:rPr>
          <w:rFonts w:ascii="Times New Roman" w:hAnsi="Times New Roman" w:cs="Times New Roman"/>
          <w:sz w:val="24"/>
          <w:szCs w:val="24"/>
        </w:rPr>
      </w:pPr>
      <w:r w:rsidRPr="005C0464">
        <w:rPr>
          <w:rFonts w:ascii="Times New Roman" w:hAnsi="Times New Roman" w:cs="Times New Roman"/>
          <w:sz w:val="24"/>
          <w:szCs w:val="24"/>
        </w:rPr>
        <w:lastRenderedPageBreak/>
        <w:t>The equitable distribution of digital Islamic financial services across Indonesia continues to be constrained by disparities in infrastructure, particularly in the 3T regions (frontier, remote, and disadvantaged areas). Limited access to reliable internet connectivity and digital devices prevents communities in these regions from fully benefiting from innovations in Islamic digital finance. This situation not only widens the digital divide but also increases the risk of financial exclusion among communities that are most in need of inclusive financial services based on the Islamic principles of justice and equity.</w:t>
      </w:r>
    </w:p>
    <w:p w14:paraId="411D0591" w14:textId="6F83E5E8" w:rsidR="00283B7F" w:rsidRPr="005C0464" w:rsidRDefault="005C0464" w:rsidP="00283B7F">
      <w:pPr>
        <w:pStyle w:val="ListParagraph"/>
        <w:spacing w:line="240" w:lineRule="auto"/>
        <w:ind w:left="709" w:firstLine="360"/>
        <w:jc w:val="both"/>
        <w:rPr>
          <w:rFonts w:ascii="Times New Roman" w:hAnsi="Times New Roman" w:cs="Times New Roman"/>
          <w:sz w:val="24"/>
          <w:szCs w:val="24"/>
        </w:rPr>
      </w:pPr>
      <w:r w:rsidRPr="005C0464">
        <w:rPr>
          <w:rFonts w:ascii="Times New Roman" w:hAnsi="Times New Roman" w:cs="Times New Roman"/>
          <w:sz w:val="24"/>
          <w:szCs w:val="24"/>
        </w:rPr>
        <w:t>On the other hand, the availability of human resources possessing dual competencies—namely expertise in digital technology and a solid understanding of fiqh muamalah principles—remains highly limited. This shortage hampers the acceleration of digital transformation that is fully aligned with Islamic values. The scarcity of digital sharia talents also forces Islamic banks to rely heavily on third-party providers for application development and information systems, potentially compromising Sharia compliance in the technical and operational aspects of digital financial products.</w:t>
      </w:r>
    </w:p>
    <w:p w14:paraId="116B6212" w14:textId="7BBFD113" w:rsidR="00283B7F" w:rsidRPr="005C0464" w:rsidRDefault="005C0464" w:rsidP="00283B7F">
      <w:pPr>
        <w:pStyle w:val="ListParagraph"/>
        <w:spacing w:line="240" w:lineRule="auto"/>
        <w:ind w:left="709" w:firstLine="360"/>
        <w:jc w:val="both"/>
        <w:rPr>
          <w:rFonts w:ascii="Times New Roman" w:hAnsi="Times New Roman" w:cs="Times New Roman"/>
          <w:sz w:val="24"/>
          <w:szCs w:val="24"/>
        </w:rPr>
      </w:pPr>
      <w:r w:rsidRPr="005C0464">
        <w:rPr>
          <w:rFonts w:ascii="Times New Roman" w:hAnsi="Times New Roman" w:cs="Times New Roman"/>
          <w:sz w:val="24"/>
          <w:szCs w:val="24"/>
        </w:rPr>
        <w:t>This issue is supported by the findings of Muhammad and Lanaula (2019), who reported that the majority of employees in Islamic banks have not received integrated training in both financial technology and Sharia compliance. They emphasize the importance of capacity building through collaborative initiatives involving regulators, universities, and industry practitioners. Such initiatives may include Islamic digital certification programs, the development of online learning platforms, and coaching clinics for young professionals interested in Islamic financial technology.</w:t>
      </w:r>
    </w:p>
    <w:p w14:paraId="5F9E1093" w14:textId="05F5703C" w:rsidR="00283B7F" w:rsidRPr="00526EFA" w:rsidRDefault="00526EFA" w:rsidP="00283B7F">
      <w:pPr>
        <w:pStyle w:val="ListParagraph"/>
        <w:spacing w:line="240" w:lineRule="auto"/>
        <w:ind w:left="709" w:firstLine="360"/>
        <w:jc w:val="both"/>
        <w:rPr>
          <w:rFonts w:ascii="Times New Roman" w:hAnsi="Times New Roman" w:cs="Times New Roman"/>
          <w:sz w:val="24"/>
          <w:szCs w:val="24"/>
        </w:rPr>
      </w:pPr>
      <w:r w:rsidRPr="00526EFA">
        <w:rPr>
          <w:rFonts w:ascii="Times New Roman" w:hAnsi="Times New Roman" w:cs="Times New Roman"/>
          <w:sz w:val="24"/>
          <w:szCs w:val="24"/>
        </w:rPr>
        <w:t>Similarly, Mohd Akram Laldin and Fares Djafri (2019) argue that the success of digital transformation in the Islamic financial sector largely depends on the availability of digital sharia talents, which remain scarce. As a long-term solution, they propose integrating Islamic digital finance curricula into higher education and expanding applied training programs within the industry. Universities should develop interdisciplinary programs that combine Islamic studies, information technology, and digital finance into a comprehensive curriculum. At the same time, Islamic banks should incorporate digital innovation into their Key Performance Indicators (KPIs) for human resource development, ensuring that digital transformation becomes not merely a technical initiative but also a strategic organizational priority.</w:t>
      </w:r>
    </w:p>
    <w:p w14:paraId="4DEEAE8B" w14:textId="072C9E93" w:rsidR="00283B7F" w:rsidRPr="00526EFA" w:rsidRDefault="00526EFA" w:rsidP="00283B7F">
      <w:pPr>
        <w:pStyle w:val="ListParagraph"/>
        <w:numPr>
          <w:ilvl w:val="0"/>
          <w:numId w:val="1"/>
        </w:numPr>
        <w:spacing w:after="160" w:line="240" w:lineRule="auto"/>
        <w:ind w:left="426"/>
        <w:jc w:val="both"/>
        <w:rPr>
          <w:rFonts w:ascii="Times New Roman" w:hAnsi="Times New Roman" w:cs="Times New Roman"/>
          <w:sz w:val="24"/>
          <w:szCs w:val="24"/>
        </w:rPr>
      </w:pPr>
      <w:r w:rsidRPr="00526EFA">
        <w:rPr>
          <w:rFonts w:ascii="Times New Roman" w:hAnsi="Times New Roman" w:cs="Times New Roman"/>
          <w:sz w:val="24"/>
          <w:szCs w:val="24"/>
        </w:rPr>
        <w:t>Islamic Banking Strategies in Responding to the Digital Era</w:t>
      </w:r>
    </w:p>
    <w:p w14:paraId="58AAEDDA" w14:textId="67422734" w:rsidR="00283B7F" w:rsidRDefault="00526EFA" w:rsidP="00283B7F">
      <w:pPr>
        <w:pStyle w:val="ListParagraph"/>
        <w:numPr>
          <w:ilvl w:val="0"/>
          <w:numId w:val="4"/>
        </w:numPr>
        <w:spacing w:after="160" w:line="240" w:lineRule="auto"/>
        <w:ind w:left="709"/>
        <w:jc w:val="both"/>
        <w:rPr>
          <w:rFonts w:ascii="Times New Roman" w:hAnsi="Times New Roman" w:cs="Times New Roman"/>
          <w:sz w:val="24"/>
          <w:szCs w:val="24"/>
        </w:rPr>
      </w:pPr>
      <w:r w:rsidRPr="00526EFA">
        <w:rPr>
          <w:rFonts w:ascii="Times New Roman" w:hAnsi="Times New Roman" w:cs="Times New Roman"/>
          <w:sz w:val="24"/>
          <w:szCs w:val="24"/>
        </w:rPr>
        <w:t>Adoption of Innovative Technologies</w:t>
      </w:r>
    </w:p>
    <w:p w14:paraId="3073987E" w14:textId="4C7D94B4" w:rsidR="00283B7F" w:rsidRPr="00526EFA" w:rsidRDefault="00283B7F" w:rsidP="00283B7F">
      <w:pPr>
        <w:pStyle w:val="ListParagraph"/>
        <w:spacing w:line="240" w:lineRule="auto"/>
        <w:ind w:firstLine="284"/>
        <w:jc w:val="both"/>
        <w:rPr>
          <w:rFonts w:ascii="Times New Roman" w:hAnsi="Times New Roman" w:cs="Times New Roman"/>
          <w:sz w:val="24"/>
          <w:szCs w:val="24"/>
        </w:rPr>
      </w:pPr>
      <w:r w:rsidRPr="00526EFA">
        <w:rPr>
          <w:rFonts w:ascii="Times New Roman" w:hAnsi="Times New Roman" w:cs="Times New Roman"/>
          <w:sz w:val="24"/>
          <w:szCs w:val="24"/>
        </w:rPr>
        <w:t xml:space="preserve"> </w:t>
      </w:r>
      <w:r w:rsidR="00526EFA" w:rsidRPr="00526EFA">
        <w:rPr>
          <w:rFonts w:ascii="Times New Roman" w:hAnsi="Times New Roman" w:cs="Times New Roman"/>
          <w:sz w:val="24"/>
          <w:szCs w:val="24"/>
        </w:rPr>
        <w:t>Islamic banks are increasingly aggressive in adopting emerging technologies such as digital core banking, Open Banking APIs, and strategic collaborations with Islamic fintech companies and startups. This strategy is not only aimed at improving internal operational efficiency but also at developing financial services that are more flexible, faster, and more accessible to the increasingly tech-savvy digital generation. In addition, the adoption of cloud computing and artificial intelligence (AI) for business process automation has begun to enhance service quality while strengthening data security.</w:t>
      </w:r>
    </w:p>
    <w:p w14:paraId="5DADDA83" w14:textId="61ADF2EF" w:rsidR="00283B7F" w:rsidRPr="00526EFA" w:rsidRDefault="00526EFA" w:rsidP="00283B7F">
      <w:pPr>
        <w:pStyle w:val="ListParagraph"/>
        <w:spacing w:line="240" w:lineRule="auto"/>
        <w:ind w:firstLine="284"/>
        <w:jc w:val="both"/>
        <w:rPr>
          <w:rFonts w:ascii="Times New Roman" w:hAnsi="Times New Roman" w:cs="Times New Roman"/>
          <w:sz w:val="24"/>
          <w:szCs w:val="24"/>
        </w:rPr>
      </w:pPr>
      <w:r w:rsidRPr="00526EFA">
        <w:rPr>
          <w:rFonts w:ascii="Times New Roman" w:hAnsi="Times New Roman" w:cs="Times New Roman"/>
          <w:sz w:val="24"/>
          <w:szCs w:val="24"/>
        </w:rPr>
        <w:t>One notable initiative is the development of the Open Banking API by Bank Syariah Indonesia (BSI), which enables the integration of Islamic banking services with third-party applications, including halal e-commerce platforms and online zakat services. This collaboration creates an open ecosystem that expands public access to Sharia-</w:t>
      </w:r>
      <w:r w:rsidRPr="00526EFA">
        <w:rPr>
          <w:rFonts w:ascii="Times New Roman" w:hAnsi="Times New Roman" w:cs="Times New Roman"/>
          <w:sz w:val="24"/>
          <w:szCs w:val="24"/>
        </w:rPr>
        <w:lastRenderedPageBreak/>
        <w:t>compliant financial services while promoting broader and more equitable digital financial inclusion across Indonesia.</w:t>
      </w:r>
    </w:p>
    <w:p w14:paraId="71A4AB07" w14:textId="7FD31BAA" w:rsidR="00283B7F" w:rsidRPr="00526EFA" w:rsidRDefault="00526EFA" w:rsidP="00283B7F">
      <w:pPr>
        <w:pStyle w:val="ListParagraph"/>
        <w:spacing w:line="240" w:lineRule="auto"/>
        <w:ind w:firstLine="284"/>
        <w:jc w:val="both"/>
        <w:rPr>
          <w:rFonts w:ascii="Times New Roman" w:hAnsi="Times New Roman" w:cs="Times New Roman"/>
          <w:sz w:val="24"/>
          <w:szCs w:val="24"/>
        </w:rPr>
      </w:pPr>
      <w:r w:rsidRPr="00526EFA">
        <w:rPr>
          <w:rFonts w:ascii="Times New Roman" w:hAnsi="Times New Roman" w:cs="Times New Roman"/>
          <w:sz w:val="24"/>
          <w:szCs w:val="24"/>
        </w:rPr>
        <w:t>The study by Fajria (2019) demonstrates that collaboration between Islamic banks and fintech firms accelerates financial product innovation by approximately 35% compared with relying solely on internal innovation. The study also highlights that the adoption of Open APIs enables Islamic financial services to reach unbanked communities through community-based applications, such as Islamic boarding school cooperatives (pesantren cooperatives) and Sharia-compliant peer-to-peer lending platforms. Furthermore, this approach has the potential to strengthen an integrated halal digital ecosystem, connecting sectors such as commerce, education, and social services through a unified digital platform that complies with Sharia principles.</w:t>
      </w:r>
    </w:p>
    <w:p w14:paraId="55422AC5" w14:textId="645669A7" w:rsidR="00283B7F" w:rsidRPr="00526EFA" w:rsidRDefault="00526EFA" w:rsidP="00283B7F">
      <w:pPr>
        <w:pStyle w:val="ListParagraph"/>
        <w:spacing w:line="240" w:lineRule="auto"/>
        <w:ind w:firstLine="284"/>
        <w:jc w:val="both"/>
        <w:rPr>
          <w:rFonts w:ascii="Times New Roman" w:hAnsi="Times New Roman" w:cs="Times New Roman"/>
          <w:sz w:val="24"/>
          <w:szCs w:val="24"/>
        </w:rPr>
      </w:pPr>
      <w:r w:rsidRPr="00526EFA">
        <w:rPr>
          <w:rFonts w:ascii="Times New Roman" w:hAnsi="Times New Roman" w:cs="Times New Roman"/>
          <w:sz w:val="24"/>
          <w:szCs w:val="24"/>
        </w:rPr>
        <w:t>The adoption of these innovative technologies enables Islamic banks not only to improve operational efficiency but also to strengthen their position as key drivers of an inclusive, adaptive, and Sharia-compliant digital Islamic financial ecosystem, while responding effectively to the evolving needs of an increasingly dynamic and digitally literate society.</w:t>
      </w:r>
    </w:p>
    <w:p w14:paraId="666FB1E3" w14:textId="167FA04C" w:rsidR="00283B7F" w:rsidRDefault="00526EFA" w:rsidP="00283B7F">
      <w:pPr>
        <w:pStyle w:val="ListParagraph"/>
        <w:numPr>
          <w:ilvl w:val="0"/>
          <w:numId w:val="4"/>
        </w:numPr>
        <w:spacing w:after="160" w:line="240" w:lineRule="auto"/>
        <w:ind w:left="709"/>
        <w:jc w:val="both"/>
        <w:rPr>
          <w:rFonts w:ascii="Times New Roman" w:hAnsi="Times New Roman" w:cs="Times New Roman"/>
          <w:sz w:val="24"/>
          <w:szCs w:val="24"/>
        </w:rPr>
      </w:pPr>
      <w:r w:rsidRPr="00526EFA">
        <w:rPr>
          <w:rFonts w:ascii="Times New Roman" w:hAnsi="Times New Roman" w:cs="Times New Roman"/>
          <w:sz w:val="24"/>
          <w:szCs w:val="24"/>
        </w:rPr>
        <w:t>Strengthening the Digital Islamic Ecosystem</w:t>
      </w:r>
    </w:p>
    <w:p w14:paraId="66084800" w14:textId="07BFCF93" w:rsidR="00283B7F" w:rsidRPr="00526EFA" w:rsidRDefault="00526EFA" w:rsidP="00283B7F">
      <w:pPr>
        <w:pStyle w:val="ListParagraph"/>
        <w:spacing w:line="240" w:lineRule="auto"/>
        <w:ind w:firstLine="284"/>
        <w:jc w:val="both"/>
        <w:rPr>
          <w:rFonts w:ascii="Times New Roman" w:hAnsi="Times New Roman" w:cs="Times New Roman"/>
          <w:sz w:val="24"/>
          <w:szCs w:val="24"/>
        </w:rPr>
      </w:pPr>
      <w:r w:rsidRPr="00526EFA">
        <w:rPr>
          <w:rFonts w:ascii="Times New Roman" w:hAnsi="Times New Roman" w:cs="Times New Roman"/>
          <w:sz w:val="24"/>
          <w:szCs w:val="24"/>
        </w:rPr>
        <w:t>Strengthening the digital ecosystem in Islamic banking extends beyond the development of financial services to encompass comprehensive integration with other halal sectors, including trade, logistics, and the Islamic lifestyle industry. Islamic banks serve as catalysts in building a digital halal ecosystem that facilitates end-to-end transactions based on Sharia principles. This integration is essential for enhancing public trust and expanding market reach, not only domestically but also internationally, given the continuously growing global demand for halal products and services.</w:t>
      </w:r>
    </w:p>
    <w:p w14:paraId="66BF0F79" w14:textId="094801BC" w:rsidR="00283B7F" w:rsidRPr="00526EFA" w:rsidRDefault="00526EFA" w:rsidP="00283B7F">
      <w:pPr>
        <w:pStyle w:val="ListParagraph"/>
        <w:spacing w:line="240" w:lineRule="auto"/>
        <w:ind w:firstLine="284"/>
        <w:jc w:val="both"/>
        <w:rPr>
          <w:rFonts w:ascii="Times New Roman" w:hAnsi="Times New Roman" w:cs="Times New Roman"/>
          <w:sz w:val="24"/>
          <w:szCs w:val="24"/>
        </w:rPr>
      </w:pPr>
      <w:r w:rsidRPr="00526EFA">
        <w:rPr>
          <w:rFonts w:ascii="Times New Roman" w:hAnsi="Times New Roman" w:cs="Times New Roman"/>
          <w:sz w:val="24"/>
          <w:szCs w:val="24"/>
        </w:rPr>
        <w:t>One practical example is the integration of Islamic financial services with digital platforms such as Halal Marketplaces and the Halal Product Information System (SIPH), enabling consumers to conduct transactions without concerns about violating Sharia principles. In addition, Islamic banks have intensified Islamic digital financial literacy programs through mobile applications and social media platforms, utilizing interactive and community-based educational approaches to make Sharia financial concepts more accessible to younger generations and the broader public.</w:t>
      </w:r>
    </w:p>
    <w:p w14:paraId="4AC18F3D" w14:textId="38084AF3" w:rsidR="00283B7F" w:rsidRPr="00526EFA" w:rsidRDefault="00526EFA" w:rsidP="00283B7F">
      <w:pPr>
        <w:pStyle w:val="ListParagraph"/>
        <w:spacing w:line="240" w:lineRule="auto"/>
        <w:ind w:firstLine="284"/>
        <w:jc w:val="both"/>
        <w:rPr>
          <w:rFonts w:ascii="Times New Roman" w:hAnsi="Times New Roman" w:cs="Times New Roman"/>
          <w:sz w:val="24"/>
          <w:szCs w:val="24"/>
        </w:rPr>
      </w:pPr>
      <w:r w:rsidRPr="00526EFA">
        <w:rPr>
          <w:rFonts w:ascii="Times New Roman" w:hAnsi="Times New Roman" w:cs="Times New Roman"/>
          <w:sz w:val="24"/>
          <w:szCs w:val="24"/>
        </w:rPr>
        <w:t>The study by Syaiful Suib and Amelia (2024) emphasizes that strengthening Sharia-based digital literacy significantly enhances public awareness of and trust in Islamic banking products. Their findings indicate that regions with higher levels of digital and Islamic financial literacy exhibit twice the adoption rate of Islamic mobile banking services compared with regions characterized by lower literacy levels. These results highlight the critical role of digital trust and financial literacy as fundamental pillars for the successful digital transformation of Islamic financial services.</w:t>
      </w:r>
    </w:p>
    <w:p w14:paraId="7EA101C8" w14:textId="49AEB32D" w:rsidR="00283B7F" w:rsidRPr="00526EFA" w:rsidRDefault="00526EFA" w:rsidP="00283B7F">
      <w:pPr>
        <w:pStyle w:val="ListParagraph"/>
        <w:spacing w:line="240" w:lineRule="auto"/>
        <w:ind w:firstLine="284"/>
        <w:jc w:val="both"/>
        <w:rPr>
          <w:rFonts w:ascii="Times New Roman" w:hAnsi="Times New Roman" w:cs="Times New Roman"/>
          <w:sz w:val="24"/>
          <w:szCs w:val="24"/>
        </w:rPr>
      </w:pPr>
      <w:r w:rsidRPr="00526EFA">
        <w:rPr>
          <w:rFonts w:ascii="Times New Roman" w:hAnsi="Times New Roman" w:cs="Times New Roman"/>
          <w:sz w:val="24"/>
          <w:szCs w:val="24"/>
        </w:rPr>
        <w:t>By integrating technological innovation with Islamic values, Islamic banks are able to develop an ecosystem that is not only digitally advanced but also ethically aligned with Sharia principles, thereby delivering financial services that are socially responsible, economically sustainable, and compliant with Islamic teachings.</w:t>
      </w:r>
    </w:p>
    <w:p w14:paraId="4C6F38A7" w14:textId="4EDCD624" w:rsidR="00CF38DB" w:rsidRPr="00526EFA" w:rsidRDefault="00526EFA" w:rsidP="00CF38DB">
      <w:pPr>
        <w:pStyle w:val="ListParagraph"/>
        <w:spacing w:line="240" w:lineRule="auto"/>
        <w:ind w:firstLine="284"/>
        <w:jc w:val="both"/>
        <w:rPr>
          <w:rFonts w:ascii="Times New Roman" w:hAnsi="Times New Roman" w:cs="Times New Roman"/>
          <w:sz w:val="24"/>
          <w:szCs w:val="24"/>
        </w:rPr>
      </w:pPr>
      <w:r w:rsidRPr="00526EFA">
        <w:rPr>
          <w:rFonts w:ascii="Times New Roman" w:hAnsi="Times New Roman" w:cs="Times New Roman"/>
          <w:sz w:val="24"/>
          <w:szCs w:val="24"/>
        </w:rPr>
        <w:t xml:space="preserve">These findings suggest that the success of digital transformation depends not only on technological innovation but also on the level of public literacy and trust in Islamic financial services. Therefore, strengthening the digital Islamic ecosystem requires an </w:t>
      </w:r>
      <w:r w:rsidRPr="00526EFA">
        <w:rPr>
          <w:rFonts w:ascii="Times New Roman" w:hAnsi="Times New Roman" w:cs="Times New Roman"/>
          <w:sz w:val="24"/>
          <w:szCs w:val="24"/>
        </w:rPr>
        <w:lastRenderedPageBreak/>
        <w:t>integrated approach involving close collaboration among Islamic banks, regulators, and the wider community.</w:t>
      </w:r>
    </w:p>
    <w:p w14:paraId="01CE41B5" w14:textId="6CA009CF" w:rsidR="00283B7F" w:rsidRPr="00526EFA" w:rsidRDefault="00526EFA" w:rsidP="00283B7F">
      <w:pPr>
        <w:pStyle w:val="ListParagraph"/>
        <w:numPr>
          <w:ilvl w:val="0"/>
          <w:numId w:val="4"/>
        </w:numPr>
        <w:spacing w:after="160" w:line="240" w:lineRule="auto"/>
        <w:ind w:left="709"/>
        <w:jc w:val="both"/>
        <w:rPr>
          <w:rFonts w:ascii="Times New Roman" w:hAnsi="Times New Roman" w:cs="Times New Roman"/>
          <w:sz w:val="24"/>
          <w:szCs w:val="24"/>
        </w:rPr>
      </w:pPr>
      <w:r w:rsidRPr="00526EFA">
        <w:rPr>
          <w:rFonts w:ascii="Times New Roman" w:hAnsi="Times New Roman" w:cs="Times New Roman"/>
          <w:sz w:val="24"/>
          <w:szCs w:val="24"/>
        </w:rPr>
        <w:t>Human Resource Development and Digital Culture</w:t>
      </w:r>
    </w:p>
    <w:p w14:paraId="60BB6D88" w14:textId="3B46E772" w:rsidR="00283B7F" w:rsidRPr="00526EFA" w:rsidRDefault="00526EFA" w:rsidP="00283B7F">
      <w:pPr>
        <w:pStyle w:val="ListParagraph"/>
        <w:spacing w:line="240" w:lineRule="auto"/>
        <w:ind w:left="709" w:firstLine="284"/>
        <w:jc w:val="both"/>
        <w:rPr>
          <w:rFonts w:ascii="Times New Roman" w:hAnsi="Times New Roman" w:cs="Times New Roman"/>
          <w:sz w:val="24"/>
          <w:szCs w:val="24"/>
        </w:rPr>
      </w:pPr>
      <w:r w:rsidRPr="00526EFA">
        <w:rPr>
          <w:rFonts w:ascii="Times New Roman" w:hAnsi="Times New Roman" w:cs="Times New Roman"/>
          <w:sz w:val="24"/>
          <w:szCs w:val="24"/>
        </w:rPr>
        <w:t>Digital transformation in Islamic banking cannot be effectively implemented without competent human resources and an organizational culture that supports innovation. Therefore, the simultaneous development of digital competencies and Sharia knowledge has become a central strategy for strengthening organizational capabilities. Employees who possess these dual competencies play a crucial role in ensuring that technological innovations remain aligned with Islamic principles while maintaining customer trust and confidence.</w:t>
      </w:r>
    </w:p>
    <w:p w14:paraId="1165DDC4" w14:textId="48A7EEFC" w:rsidR="00283B7F" w:rsidRPr="00526EFA" w:rsidRDefault="00526EFA" w:rsidP="00283B7F">
      <w:pPr>
        <w:pStyle w:val="ListParagraph"/>
        <w:spacing w:line="240" w:lineRule="auto"/>
        <w:ind w:left="709" w:firstLine="284"/>
        <w:jc w:val="both"/>
        <w:rPr>
          <w:rFonts w:ascii="Times New Roman" w:hAnsi="Times New Roman" w:cs="Times New Roman"/>
          <w:sz w:val="24"/>
          <w:szCs w:val="24"/>
        </w:rPr>
      </w:pPr>
      <w:r w:rsidRPr="00526EFA">
        <w:rPr>
          <w:rFonts w:ascii="Times New Roman" w:hAnsi="Times New Roman" w:cs="Times New Roman"/>
          <w:sz w:val="24"/>
          <w:szCs w:val="24"/>
        </w:rPr>
        <w:t>Islamic banks have begun introducing integrated training initiatives such as the Sharia Digital Banker Program, which combines modules on digital literacy, basic programming for financial services, and contemporary fiqh muamalah studies. In addition, digital workplace practices—including agile methodologies, data-driven decision-making, and a continuous learning culture—are increasingly being adopted within Islamic banking institutions to enhance organizational responsiveness and adaptability in the rapidly evolving fintech landscape.</w:t>
      </w:r>
    </w:p>
    <w:p w14:paraId="0BF96D24" w14:textId="584D13E2" w:rsidR="00283B7F" w:rsidRPr="00526EFA" w:rsidRDefault="00526EFA" w:rsidP="00283B7F">
      <w:pPr>
        <w:pStyle w:val="ListParagraph"/>
        <w:spacing w:line="240" w:lineRule="auto"/>
        <w:ind w:left="709" w:firstLine="284"/>
        <w:jc w:val="both"/>
        <w:rPr>
          <w:rFonts w:ascii="Times New Roman" w:hAnsi="Times New Roman" w:cs="Times New Roman"/>
          <w:sz w:val="24"/>
          <w:szCs w:val="24"/>
        </w:rPr>
      </w:pPr>
      <w:r w:rsidRPr="00526EFA">
        <w:rPr>
          <w:rFonts w:ascii="Times New Roman" w:hAnsi="Times New Roman" w:cs="Times New Roman"/>
          <w:sz w:val="24"/>
          <w:szCs w:val="24"/>
        </w:rPr>
        <w:t>The study by Mujahidin and Majid (2022) demonstrates that training programs integrating technological expertise with Sharia knowledge have a positive impact on both employee productivity and customer satisfaction. Employees equipped with competencies in these two domains exhibit greater confidence in responding to digital transformation while maintaining Sharia compliance in their daily operations. Furthermore, hybrid training models, which combine online and face-to-face learning, have proven effective in reaching employees across different regions.</w:t>
      </w:r>
    </w:p>
    <w:p w14:paraId="7ADCB5BF" w14:textId="63840E0F" w:rsidR="00283B7F" w:rsidRPr="00526EFA" w:rsidRDefault="00526EFA" w:rsidP="00CF38DB">
      <w:pPr>
        <w:pStyle w:val="ListParagraph"/>
        <w:spacing w:line="240" w:lineRule="auto"/>
        <w:ind w:left="709" w:firstLine="284"/>
        <w:jc w:val="both"/>
        <w:rPr>
          <w:rFonts w:ascii="Times New Roman" w:hAnsi="Times New Roman" w:cs="Times New Roman"/>
          <w:sz w:val="24"/>
          <w:szCs w:val="24"/>
        </w:rPr>
      </w:pPr>
      <w:r w:rsidRPr="00526EFA">
        <w:rPr>
          <w:rFonts w:ascii="Times New Roman" w:hAnsi="Times New Roman" w:cs="Times New Roman"/>
          <w:sz w:val="24"/>
          <w:szCs w:val="24"/>
        </w:rPr>
        <w:t>These findings reinforce the importance of cultivating a digital organizational culture that remains firmly grounded in Islamic values such as amanah (trustworthiness), ihsan (excellence), and maslahah (public benefit), ensuring that technological transformation does not compromise the distinctive identity of Islamic banking. Moreover, human resource development should be supported by internal policies that encourage innovation, strengthen data protection, and uphold Islamic work ethics, thereby fostering a productive, ethical, and sustainable organizational ecosystem.</w:t>
      </w:r>
      <w:r w:rsidR="00CF38DB" w:rsidRPr="00526EFA">
        <w:rPr>
          <w:rFonts w:ascii="Times New Roman" w:hAnsi="Times New Roman" w:cs="Times New Roman"/>
          <w:sz w:val="24"/>
          <w:szCs w:val="24"/>
        </w:rPr>
        <w:t xml:space="preserve"> </w:t>
      </w:r>
    </w:p>
    <w:p w14:paraId="75C3D3CC" w14:textId="77777777" w:rsidR="00D801B3" w:rsidRPr="00CB72F7" w:rsidRDefault="00000000">
      <w:pPr>
        <w:spacing w:before="240" w:after="0" w:line="240" w:lineRule="auto"/>
        <w:rPr>
          <w:rFonts w:ascii="Book Antiqua" w:eastAsia="Book Antiqua" w:hAnsi="Book Antiqua" w:cs="Book Antiqua"/>
          <w:b/>
          <w:color w:val="000000"/>
          <w:sz w:val="24"/>
          <w:szCs w:val="24"/>
        </w:rPr>
      </w:pPr>
      <w:commentRangeStart w:id="2"/>
      <w:r w:rsidRPr="00CB72F7">
        <w:rPr>
          <w:rFonts w:ascii="Book Antiqua" w:eastAsia="Book Antiqua" w:hAnsi="Book Antiqua" w:cs="Book Antiqua"/>
          <w:b/>
          <w:color w:val="000000"/>
          <w:sz w:val="24"/>
          <w:szCs w:val="24"/>
        </w:rPr>
        <w:t>CONCLUSION</w:t>
      </w:r>
      <w:commentRangeEnd w:id="2"/>
      <w:r w:rsidR="00C14EF7" w:rsidRPr="00CB72F7">
        <w:rPr>
          <w:rStyle w:val="CommentReference"/>
          <w:rFonts w:ascii="Book Antiqua" w:eastAsia="Book Antiqua" w:hAnsi="Book Antiqua" w:cs="Book Antiqua"/>
          <w:b/>
          <w:color w:val="000000"/>
          <w:sz w:val="24"/>
          <w:szCs w:val="24"/>
        </w:rPr>
        <w:commentReference w:id="2"/>
      </w:r>
    </w:p>
    <w:p w14:paraId="4B0339DA" w14:textId="6C3A3CC2" w:rsidR="00CF38DB" w:rsidRPr="00526EFA" w:rsidRDefault="00526EFA" w:rsidP="00CF38DB">
      <w:pPr>
        <w:spacing w:line="240" w:lineRule="auto"/>
        <w:ind w:firstLine="567"/>
        <w:jc w:val="both"/>
        <w:rPr>
          <w:rFonts w:ascii="Times New Roman" w:hAnsi="Times New Roman" w:cs="Times New Roman"/>
          <w:sz w:val="24"/>
          <w:szCs w:val="24"/>
        </w:rPr>
      </w:pPr>
      <w:r w:rsidRPr="00526EFA">
        <w:rPr>
          <w:rFonts w:ascii="Times New Roman" w:hAnsi="Times New Roman" w:cs="Times New Roman"/>
          <w:sz w:val="24"/>
          <w:szCs w:val="24"/>
        </w:rPr>
        <w:t>Digital transformation in Islamic banking presents both significant opportunities and complex challenges. On the one hand, digitalization has expanded access to and inclusion in Islamic financial services, improved operational efficiency, and stimulated the development of technology-based financial products such as e-mudharabah, e-waqf, and Sharia-compliant crowdfunding. These opportunities are further supported by the increasing penetration of the internet and the adoption of advanced technologies, including blockchain and smart contracts, which enhance transparency while ensuring compliance with Sharia principles.</w:t>
      </w:r>
      <w:r w:rsidR="00CF38DB" w:rsidRPr="00526EFA">
        <w:rPr>
          <w:rFonts w:ascii="Times New Roman" w:hAnsi="Times New Roman" w:cs="Times New Roman"/>
          <w:sz w:val="24"/>
          <w:szCs w:val="24"/>
        </w:rPr>
        <w:br/>
        <w:t xml:space="preserve">         </w:t>
      </w:r>
      <w:r w:rsidRPr="00526EFA">
        <w:rPr>
          <w:rFonts w:ascii="Times New Roman" w:hAnsi="Times New Roman" w:cs="Times New Roman"/>
          <w:sz w:val="24"/>
          <w:szCs w:val="24"/>
        </w:rPr>
        <w:t xml:space="preserve">On the other hand, major challenges remain, including regulatory frameworks that have not yet fully adapted to digital innovation, growing cybersecurity and data protection risks, infrastructure disparities in remote areas, and the limited availability of human resources with expertise in both digital technology and Islamic finance. Addressing these challenges requires comprehensive strategies, including the adoption of innovative technologies such as Open </w:t>
      </w:r>
      <w:r w:rsidRPr="00526EFA">
        <w:rPr>
          <w:rFonts w:ascii="Times New Roman" w:hAnsi="Times New Roman" w:cs="Times New Roman"/>
          <w:sz w:val="24"/>
          <w:szCs w:val="24"/>
        </w:rPr>
        <w:lastRenderedPageBreak/>
        <w:t>Banking APIs and artificial intelligence (AI), the strengthening of the digital Islamic financial ecosystem, and the development of human resources through integrated training programs. Furthermore, close collaboration among regulators, academic institutions, and industry practitioners is essential to ensure the harmonization of technological innovation, regulatory development, and Sharia values.</w:t>
      </w:r>
      <w:r w:rsidR="00CF38DB" w:rsidRPr="00526EFA">
        <w:rPr>
          <w:rFonts w:ascii="Times New Roman" w:hAnsi="Times New Roman" w:cs="Times New Roman"/>
          <w:sz w:val="24"/>
          <w:szCs w:val="24"/>
        </w:rPr>
        <w:br/>
        <w:t xml:space="preserve">         </w:t>
      </w:r>
      <w:r w:rsidRPr="00526EFA">
        <w:rPr>
          <w:rFonts w:ascii="Times New Roman" w:hAnsi="Times New Roman" w:cs="Times New Roman"/>
          <w:sz w:val="24"/>
          <w:szCs w:val="24"/>
        </w:rPr>
        <w:t>This study contributes by providing a comprehensive overview of the opportunities, challenges, and strategic approaches to digital transformation in Indonesia's Islamic banking industry based on relevant scientific literature. Nevertheless, the study is limited by its reliance on a literature review approach and is therefore not supported by empirical data collected directly from practitioners within the Islamic banking sector. Future research is recommended to employ empirical methods, such as surveys, interviews, or case studies involving specific Islamic banks, in order to gain deeper insights into the implementation of digital transformation and the factors influencing its successful adoption.</w:t>
      </w:r>
    </w:p>
    <w:p w14:paraId="663D9989" w14:textId="77777777" w:rsidR="00D801B3" w:rsidRDefault="00000000">
      <w:pPr>
        <w:spacing w:before="240" w:after="0" w:line="240" w:lineRule="auto"/>
        <w:rPr>
          <w:rFonts w:ascii="Book Antiqua" w:eastAsia="Book Antiqua" w:hAnsi="Book Antiqua" w:cs="Book Antiqua"/>
          <w:b/>
          <w:color w:val="000000"/>
          <w:sz w:val="24"/>
          <w:szCs w:val="24"/>
        </w:rPr>
      </w:pPr>
      <w:commentRangeStart w:id="3"/>
      <w:r>
        <w:rPr>
          <w:rFonts w:ascii="Book Antiqua" w:eastAsia="Book Antiqua" w:hAnsi="Book Antiqua" w:cs="Book Antiqua"/>
          <w:b/>
          <w:color w:val="000000"/>
          <w:sz w:val="24"/>
          <w:szCs w:val="24"/>
        </w:rPr>
        <w:t>REFERENCES</w:t>
      </w:r>
      <w:commentRangeEnd w:id="3"/>
      <w:r w:rsidR="00C14EF7">
        <w:rPr>
          <w:rStyle w:val="CommentReference"/>
          <w:rFonts w:ascii="Book Antiqua" w:eastAsia="Book Antiqua" w:hAnsi="Book Antiqua" w:cs="Book Antiqua"/>
          <w:b/>
          <w:color w:val="000000"/>
          <w:sz w:val="24"/>
          <w:szCs w:val="24"/>
        </w:rPr>
        <w:commentReference w:id="3"/>
      </w:r>
    </w:p>
    <w:p w14:paraId="644B1B56" w14:textId="08E9C91B" w:rsidR="00CA003F" w:rsidRPr="00CA003F" w:rsidRDefault="00283B7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283B7F">
        <w:rPr>
          <w:rFonts w:asciiTheme="majorBidi" w:eastAsia="Book Antiqua" w:hAnsiTheme="majorBidi" w:cstheme="majorBidi"/>
          <w:b/>
          <w:color w:val="4F81BD"/>
          <w:sz w:val="24"/>
          <w:szCs w:val="24"/>
        </w:rPr>
        <w:fldChar w:fldCharType="begin" w:fldLock="1"/>
      </w:r>
      <w:r w:rsidRPr="00283B7F">
        <w:rPr>
          <w:rFonts w:asciiTheme="majorBidi" w:eastAsia="Book Antiqua" w:hAnsiTheme="majorBidi" w:cstheme="majorBidi"/>
          <w:b/>
          <w:color w:val="4F81BD"/>
          <w:sz w:val="24"/>
          <w:szCs w:val="24"/>
        </w:rPr>
        <w:instrText xml:space="preserve">ADDIN Mendeley Bibliography CSL_BIBLIOGRAPHY </w:instrText>
      </w:r>
      <w:r w:rsidRPr="00283B7F">
        <w:rPr>
          <w:rFonts w:asciiTheme="majorBidi" w:eastAsia="Book Antiqua" w:hAnsiTheme="majorBidi" w:cstheme="majorBidi"/>
          <w:b/>
          <w:color w:val="4F81BD"/>
          <w:sz w:val="24"/>
          <w:szCs w:val="24"/>
        </w:rPr>
        <w:fldChar w:fldCharType="separate"/>
      </w:r>
      <w:r w:rsidR="00CA003F" w:rsidRPr="00CA003F">
        <w:rPr>
          <w:rFonts w:ascii="Times New Roman" w:hAnsi="Times New Roman" w:cs="Times New Roman"/>
          <w:noProof/>
          <w:sz w:val="24"/>
        </w:rPr>
        <w:t xml:space="preserve">Baidhowi, B. (2018). </w:t>
      </w:r>
      <w:r w:rsidR="00CA003F" w:rsidRPr="00CA003F">
        <w:rPr>
          <w:rFonts w:ascii="Times New Roman" w:hAnsi="Times New Roman" w:cs="Times New Roman"/>
          <w:i/>
          <w:iCs/>
          <w:noProof/>
          <w:sz w:val="24"/>
        </w:rPr>
        <w:t>Sharia Banking Opportunities And Challenges In The Digital Era</w:t>
      </w:r>
      <w:r w:rsidR="00CA003F" w:rsidRPr="00CA003F">
        <w:rPr>
          <w:rFonts w:ascii="Times New Roman" w:hAnsi="Times New Roman" w:cs="Times New Roman"/>
          <w:noProof/>
          <w:sz w:val="24"/>
        </w:rPr>
        <w:t xml:space="preserve">. </w:t>
      </w:r>
      <w:r w:rsidR="00CA003F" w:rsidRPr="00CA003F">
        <w:rPr>
          <w:rFonts w:ascii="Times New Roman" w:hAnsi="Times New Roman" w:cs="Times New Roman"/>
          <w:i/>
          <w:iCs/>
          <w:noProof/>
          <w:sz w:val="24"/>
        </w:rPr>
        <w:t>192</w:t>
      </w:r>
      <w:r w:rsidR="00CA003F" w:rsidRPr="00CA003F">
        <w:rPr>
          <w:rFonts w:ascii="Times New Roman" w:hAnsi="Times New Roman" w:cs="Times New Roman"/>
          <w:noProof/>
          <w:sz w:val="24"/>
        </w:rPr>
        <w:t>(Icils), 157–161. Https://Doi.Org/10.2991/Icils-18.2018.30</w:t>
      </w:r>
    </w:p>
    <w:p w14:paraId="3064A110" w14:textId="20EBCF86"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rPr>
        <w:t xml:space="preserve">Bella, F. I., &amp; Himmawan, M. F. (2021). Digitalization And Efficiency: Technology-Based Service Of Indonesia Sharia Commercial Banks. </w:t>
      </w:r>
      <w:r w:rsidRPr="00CA003F">
        <w:rPr>
          <w:rFonts w:ascii="Times New Roman" w:hAnsi="Times New Roman" w:cs="Times New Roman"/>
          <w:i/>
          <w:iCs/>
          <w:noProof/>
          <w:sz w:val="24"/>
        </w:rPr>
        <w:t>Iqtishadia</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14</w:t>
      </w:r>
      <w:r w:rsidRPr="00CA003F">
        <w:rPr>
          <w:rFonts w:ascii="Times New Roman" w:hAnsi="Times New Roman" w:cs="Times New Roman"/>
          <w:noProof/>
          <w:sz w:val="24"/>
        </w:rPr>
        <w:t>(2), 280. Https://Doi.Org/10.21043/Iqtishadia.V14i2.8983</w:t>
      </w:r>
    </w:p>
    <w:p w14:paraId="1F83AF18" w14:textId="4092FC94"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rPr>
        <w:t xml:space="preserve">Cahyono, D., Fahrudin, R., Sinclair, A., Informatika, F. T., Info, A., Data, K., Banking, M., Multifactor, A., &amp; Pengguna, E. (2024). </w:t>
      </w:r>
      <w:r w:rsidRPr="00CA003F">
        <w:rPr>
          <w:rFonts w:ascii="Times New Roman" w:hAnsi="Times New Roman" w:cs="Times New Roman"/>
          <w:i/>
          <w:iCs/>
          <w:noProof/>
          <w:sz w:val="24"/>
          <w:lang w:val="sv-SE"/>
        </w:rPr>
        <w:t>Pentingnya Edukasi Dalam Mengatasi Keamanan Data Mobile Banking Di Indonesia</w:t>
      </w:r>
      <w:r w:rsidRPr="00CA003F">
        <w:rPr>
          <w:rFonts w:ascii="Times New Roman" w:hAnsi="Times New Roman" w:cs="Times New Roman"/>
          <w:noProof/>
          <w:sz w:val="24"/>
          <w:lang w:val="sv-SE"/>
        </w:rPr>
        <w:t xml:space="preserve">. </w:t>
      </w:r>
      <w:r w:rsidRPr="00CA003F">
        <w:rPr>
          <w:rFonts w:ascii="Times New Roman" w:hAnsi="Times New Roman" w:cs="Times New Roman"/>
          <w:i/>
          <w:iCs/>
          <w:noProof/>
          <w:sz w:val="24"/>
        </w:rPr>
        <w:t>3</w:t>
      </w:r>
      <w:r w:rsidRPr="00CA003F">
        <w:rPr>
          <w:rFonts w:ascii="Times New Roman" w:hAnsi="Times New Roman" w:cs="Times New Roman"/>
          <w:noProof/>
          <w:sz w:val="24"/>
        </w:rPr>
        <w:t>(1), 81–89.</w:t>
      </w:r>
    </w:p>
    <w:p w14:paraId="19E0DBC0" w14:textId="65EDBC4E"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rPr>
        <w:t xml:space="preserve">Dwi, A., Anita, Krismadayanti, &amp; Noviarita, H. (2021). Development Of Sharia Finance Digitalization Towards Inclusive Finance Within A Sharia Maqashid Framework ( Case Study On Pt Bank Syariah Indonesia ’ S Bsi Mobile Banking Product ). </w:t>
      </w:r>
      <w:r w:rsidRPr="00CA003F">
        <w:rPr>
          <w:rFonts w:ascii="Times New Roman" w:hAnsi="Times New Roman" w:cs="Times New Roman"/>
          <w:i/>
          <w:iCs/>
          <w:noProof/>
          <w:sz w:val="24"/>
        </w:rPr>
        <w:t>Journal Of Islamic Business And Economic Review</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4</w:t>
      </w:r>
      <w:r w:rsidRPr="00CA003F">
        <w:rPr>
          <w:rFonts w:ascii="Times New Roman" w:hAnsi="Times New Roman" w:cs="Times New Roman"/>
          <w:noProof/>
          <w:sz w:val="24"/>
        </w:rPr>
        <w:t>(2), 84–96.</w:t>
      </w:r>
    </w:p>
    <w:p w14:paraId="625B18C8" w14:textId="5EBC1541"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rPr>
        <w:t xml:space="preserve">Fajria, R. N. (2019). </w:t>
      </w:r>
      <w:r w:rsidRPr="00CA003F">
        <w:rPr>
          <w:rFonts w:ascii="Times New Roman" w:hAnsi="Times New Roman" w:cs="Times New Roman"/>
          <w:noProof/>
          <w:sz w:val="24"/>
          <w:lang w:val="sv-SE"/>
        </w:rPr>
        <w:t xml:space="preserve">Potensi Sinergitas Fintech Dengan Bank Syariah Dalam Meningkatkan Kinerja Perbankan Syariah Di Indonesia. </w:t>
      </w:r>
      <w:r w:rsidRPr="00CA003F">
        <w:rPr>
          <w:rFonts w:ascii="Times New Roman" w:hAnsi="Times New Roman" w:cs="Times New Roman"/>
          <w:i/>
          <w:iCs/>
          <w:noProof/>
          <w:sz w:val="24"/>
        </w:rPr>
        <w:t>Malia: Journal Of Islamic Banking And Finance</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3</w:t>
      </w:r>
      <w:r w:rsidRPr="00CA003F">
        <w:rPr>
          <w:rFonts w:ascii="Times New Roman" w:hAnsi="Times New Roman" w:cs="Times New Roman"/>
          <w:noProof/>
          <w:sz w:val="24"/>
        </w:rPr>
        <w:t>(2), 174. Https://Doi.Org/10.21043/Malia.V3i2.8450</w:t>
      </w:r>
    </w:p>
    <w:p w14:paraId="5BD2AE29" w14:textId="37AF748F"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rPr>
        <w:t xml:space="preserve">Firdaus, F., Febiola, A., &amp; Faiqoh, S. (2021). Ketegasan Regulasi Laporan Ketaatan Syarian Dalam Optimalisasi Financial Technology Lembaga Keuangan Syariah. </w:t>
      </w:r>
      <w:r w:rsidRPr="00CA003F">
        <w:rPr>
          <w:rFonts w:ascii="Times New Roman" w:hAnsi="Times New Roman" w:cs="Times New Roman"/>
          <w:i/>
          <w:iCs/>
          <w:noProof/>
          <w:sz w:val="24"/>
        </w:rPr>
        <w:t>Perisai : Islamic Banking And Finance Journal</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1</w:t>
      </w:r>
      <w:r w:rsidRPr="00CA003F">
        <w:rPr>
          <w:rFonts w:ascii="Times New Roman" w:hAnsi="Times New Roman" w:cs="Times New Roman"/>
          <w:noProof/>
          <w:sz w:val="24"/>
        </w:rPr>
        <w:t>(3), 227–272. Https://Doi.Org/10.21070/Perisai.V1i3.1173</w:t>
      </w:r>
    </w:p>
    <w:p w14:paraId="3C703E40" w14:textId="16F2A5A4"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rPr>
        <w:t xml:space="preserve">Fitri, M., Sirait, F. Y., &amp; Sugianto, S. (2023). Digitalization Of Islamic Business: A Narrative Review. </w:t>
      </w:r>
      <w:r w:rsidRPr="00CA003F">
        <w:rPr>
          <w:rFonts w:ascii="Times New Roman" w:hAnsi="Times New Roman" w:cs="Times New Roman"/>
          <w:i/>
          <w:iCs/>
          <w:noProof/>
          <w:sz w:val="24"/>
        </w:rPr>
        <w:t>Journal Of Islamic Economics Lariba</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9</w:t>
      </w:r>
      <w:r w:rsidRPr="00CA003F">
        <w:rPr>
          <w:rFonts w:ascii="Times New Roman" w:hAnsi="Times New Roman" w:cs="Times New Roman"/>
          <w:noProof/>
          <w:sz w:val="24"/>
        </w:rPr>
        <w:t>(1), 255–267. Https://Doi.Org/10.20885/Jielariba.Vol9.Iss1.Art15</w:t>
      </w:r>
    </w:p>
    <w:p w14:paraId="3910F18C" w14:textId="77F6348E"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lang w:val="sv-SE"/>
        </w:rPr>
      </w:pPr>
      <w:r w:rsidRPr="00CA003F">
        <w:rPr>
          <w:rFonts w:ascii="Times New Roman" w:hAnsi="Times New Roman" w:cs="Times New Roman"/>
          <w:noProof/>
          <w:sz w:val="24"/>
        </w:rPr>
        <w:t xml:space="preserve">Hiyanti, H., Nugroho, L., Sukmadilaga, C., &amp; Fitrijanti, T. (2019). Peluang Dan Tantangan Fintech (Financial Technology) Syariah Di Indonesia. </w:t>
      </w:r>
      <w:r w:rsidRPr="00CA003F">
        <w:rPr>
          <w:rFonts w:ascii="Times New Roman" w:hAnsi="Times New Roman" w:cs="Times New Roman"/>
          <w:i/>
          <w:iCs/>
          <w:noProof/>
          <w:sz w:val="24"/>
          <w:lang w:val="sv-SE"/>
        </w:rPr>
        <w:t>Jurnal Ilmiah Ekonomi Islam</w:t>
      </w:r>
      <w:r w:rsidRPr="00CA003F">
        <w:rPr>
          <w:rFonts w:ascii="Times New Roman" w:hAnsi="Times New Roman" w:cs="Times New Roman"/>
          <w:noProof/>
          <w:sz w:val="24"/>
          <w:lang w:val="sv-SE"/>
        </w:rPr>
        <w:t xml:space="preserve">, </w:t>
      </w:r>
      <w:r w:rsidRPr="00CA003F">
        <w:rPr>
          <w:rFonts w:ascii="Times New Roman" w:hAnsi="Times New Roman" w:cs="Times New Roman"/>
          <w:i/>
          <w:iCs/>
          <w:noProof/>
          <w:sz w:val="24"/>
          <w:lang w:val="sv-SE"/>
        </w:rPr>
        <w:t>5</w:t>
      </w:r>
      <w:r w:rsidRPr="00CA003F">
        <w:rPr>
          <w:rFonts w:ascii="Times New Roman" w:hAnsi="Times New Roman" w:cs="Times New Roman"/>
          <w:noProof/>
          <w:sz w:val="24"/>
          <w:lang w:val="sv-SE"/>
        </w:rPr>
        <w:t>(6), 326–333. Https://Doi.Org/10.47467/Elmal.V5i6.2524</w:t>
      </w:r>
    </w:p>
    <w:p w14:paraId="5A0F4899" w14:textId="1E84890C"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lang w:val="sv-SE"/>
        </w:rPr>
        <w:lastRenderedPageBreak/>
        <w:t xml:space="preserve">Husni Shabri. (2022). Transformasi Digital Industri Perbankan Syariah Indonesia. </w:t>
      </w:r>
      <w:r w:rsidRPr="00CA003F">
        <w:rPr>
          <w:rFonts w:ascii="Times New Roman" w:hAnsi="Times New Roman" w:cs="Times New Roman"/>
          <w:i/>
          <w:iCs/>
          <w:noProof/>
          <w:sz w:val="24"/>
        </w:rPr>
        <w:t>El-Kahfi | Journal Of Islamic Economics</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3</w:t>
      </w:r>
      <w:r w:rsidRPr="00CA003F">
        <w:rPr>
          <w:rFonts w:ascii="Times New Roman" w:hAnsi="Times New Roman" w:cs="Times New Roman"/>
          <w:noProof/>
          <w:sz w:val="24"/>
        </w:rPr>
        <w:t>(02), 1–7. Https://Doi.Org/10.58958/Elkahfi.V3i02.88</w:t>
      </w:r>
    </w:p>
    <w:p w14:paraId="1760ED07" w14:textId="6F4E31A1"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rPr>
        <w:t xml:space="preserve">Jihad, F. M., Nugroho, L., &amp; Sugiyarti, D. (2022). </w:t>
      </w:r>
      <w:r w:rsidRPr="00CA003F">
        <w:rPr>
          <w:rFonts w:ascii="Times New Roman" w:hAnsi="Times New Roman" w:cs="Times New Roman"/>
          <w:noProof/>
          <w:sz w:val="24"/>
          <w:lang w:val="sv-SE"/>
        </w:rPr>
        <w:t xml:space="preserve">Kajian Pengembangan Bisnis Syariah Di Era Digitalisasi. </w:t>
      </w:r>
      <w:r w:rsidRPr="00CA003F">
        <w:rPr>
          <w:rFonts w:ascii="Times New Roman" w:hAnsi="Times New Roman" w:cs="Times New Roman"/>
          <w:i/>
          <w:iCs/>
          <w:noProof/>
          <w:sz w:val="24"/>
        </w:rPr>
        <w:t>Cakrawala Ilmiah</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2</w:t>
      </w:r>
      <w:r w:rsidRPr="00CA003F">
        <w:rPr>
          <w:rFonts w:ascii="Times New Roman" w:hAnsi="Times New Roman" w:cs="Times New Roman"/>
          <w:noProof/>
          <w:sz w:val="24"/>
        </w:rPr>
        <w:t>(3), 1–12.</w:t>
      </w:r>
    </w:p>
    <w:p w14:paraId="7C71D80B" w14:textId="693B1B35"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rPr>
        <w:t xml:space="preserve">Mohd Akram Laldin, &amp; Fares Djafri. (2019). Islamic Finance In The Digital World: Opportunities And Challenges. </w:t>
      </w:r>
      <w:r w:rsidRPr="00CA003F">
        <w:rPr>
          <w:rFonts w:ascii="Times New Roman" w:hAnsi="Times New Roman" w:cs="Times New Roman"/>
          <w:i/>
          <w:iCs/>
          <w:noProof/>
          <w:sz w:val="24"/>
        </w:rPr>
        <w:t>Journal Of Islam In Asia</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16</w:t>
      </w:r>
      <w:r w:rsidRPr="00CA003F">
        <w:rPr>
          <w:rFonts w:ascii="Times New Roman" w:hAnsi="Times New Roman" w:cs="Times New Roman"/>
          <w:noProof/>
          <w:sz w:val="24"/>
        </w:rPr>
        <w:t>(3), 283–299.</w:t>
      </w:r>
    </w:p>
    <w:p w14:paraId="367A082C" w14:textId="12BA5532"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rPr>
        <w:t xml:space="preserve">Muhammad, R., &amp; Lanaula, R. (2019). Challenges Of Islamic Supervisory In The Islamic Financial Technology Industry. </w:t>
      </w:r>
      <w:r w:rsidRPr="00CA003F">
        <w:rPr>
          <w:rFonts w:ascii="Times New Roman" w:hAnsi="Times New Roman" w:cs="Times New Roman"/>
          <w:i/>
          <w:iCs/>
          <w:noProof/>
          <w:sz w:val="24"/>
        </w:rPr>
        <w:t>Economica: Jurnal Ekonomi Islam</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10</w:t>
      </w:r>
      <w:r w:rsidRPr="00CA003F">
        <w:rPr>
          <w:rFonts w:ascii="Times New Roman" w:hAnsi="Times New Roman" w:cs="Times New Roman"/>
          <w:noProof/>
          <w:sz w:val="24"/>
        </w:rPr>
        <w:t>(2), 311–338. Https://Doi.Org/10.21580/Economica.2019.10.2.3400</w:t>
      </w:r>
    </w:p>
    <w:p w14:paraId="0298424D" w14:textId="5BD3F37F"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rPr>
        <w:t xml:space="preserve">Mujahidin, M., &amp; Majid, N. H. A. (2022). Information Technology Utilization On The Performance Of Sharia Bank Employees In Palopo City. </w:t>
      </w:r>
      <w:r w:rsidRPr="00CA003F">
        <w:rPr>
          <w:rFonts w:ascii="Times New Roman" w:hAnsi="Times New Roman" w:cs="Times New Roman"/>
          <w:i/>
          <w:iCs/>
          <w:noProof/>
          <w:sz w:val="24"/>
        </w:rPr>
        <w:t>Ikonomika</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6</w:t>
      </w:r>
      <w:r w:rsidRPr="00CA003F">
        <w:rPr>
          <w:rFonts w:ascii="Times New Roman" w:hAnsi="Times New Roman" w:cs="Times New Roman"/>
          <w:noProof/>
          <w:sz w:val="24"/>
        </w:rPr>
        <w:t>(2), 219–236. Https://Doi.Org/10.24042/Febi.V6i2.10423</w:t>
      </w:r>
    </w:p>
    <w:p w14:paraId="26342DEF" w14:textId="3723BA41"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rPr>
        <w:t xml:space="preserve">Nurhadi. (2019). The Importance Of Maqashid Sharia As A Theory In Islamic Economic Business Operations. </w:t>
      </w:r>
      <w:r w:rsidRPr="00CA003F">
        <w:rPr>
          <w:rFonts w:ascii="Times New Roman" w:hAnsi="Times New Roman" w:cs="Times New Roman"/>
          <w:i/>
          <w:iCs/>
          <w:noProof/>
          <w:sz w:val="24"/>
        </w:rPr>
        <w:t>International Journal Of Economics Development Research (Ijedr)</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3</w:t>
      </w:r>
      <w:r w:rsidRPr="00CA003F">
        <w:rPr>
          <w:rFonts w:ascii="Times New Roman" w:hAnsi="Times New Roman" w:cs="Times New Roman"/>
          <w:noProof/>
          <w:sz w:val="24"/>
        </w:rPr>
        <w:t>(2), 110–125. Https://Doi.Org/10.37385/Ijedr.V2i2.274</w:t>
      </w:r>
    </w:p>
    <w:p w14:paraId="3AD2F8E0" w14:textId="39BB7C5F"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rPr>
        <w:t xml:space="preserve">Nurhaliza, S., Ningsih, A. S., Ismaini, D., &amp; Nurbaiti. (2025). </w:t>
      </w:r>
      <w:r w:rsidRPr="00CA003F">
        <w:rPr>
          <w:rFonts w:ascii="Times New Roman" w:hAnsi="Times New Roman" w:cs="Times New Roman"/>
          <w:i/>
          <w:iCs/>
          <w:noProof/>
          <w:sz w:val="24"/>
        </w:rPr>
        <w:t>Keamanan Data Nasabah Bank Syariah</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2</w:t>
      </w:r>
      <w:r w:rsidRPr="00CA003F">
        <w:rPr>
          <w:rFonts w:ascii="Times New Roman" w:hAnsi="Times New Roman" w:cs="Times New Roman"/>
          <w:noProof/>
          <w:sz w:val="24"/>
        </w:rPr>
        <w:t>(1), 651–662. Https://Doi.Org/Doi: Https://Doi.Org/10.61722/Jmia.V2i1.3907</w:t>
      </w:r>
    </w:p>
    <w:p w14:paraId="4AA28C0E" w14:textId="5BB45669"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lang w:val="sv-SE"/>
        </w:rPr>
      </w:pPr>
      <w:r w:rsidRPr="00CA003F">
        <w:rPr>
          <w:rFonts w:ascii="Times New Roman" w:hAnsi="Times New Roman" w:cs="Times New Roman"/>
          <w:noProof/>
          <w:sz w:val="24"/>
        </w:rPr>
        <w:t xml:space="preserve">Rista, U. H. (2022). Digitalization Transformation Adding The “Peek Balance” Feature To Mbanking Bank Syariah Indonesia. </w:t>
      </w:r>
      <w:r w:rsidRPr="00CA003F">
        <w:rPr>
          <w:rFonts w:ascii="Times New Roman" w:hAnsi="Times New Roman" w:cs="Times New Roman"/>
          <w:i/>
          <w:iCs/>
          <w:noProof/>
          <w:sz w:val="24"/>
          <w:lang w:val="sv-SE"/>
        </w:rPr>
        <w:t>Prosiding Seminar Nasional Ilmu Manajamen, Ekonomi, Keuangan Dan Bisnnis</w:t>
      </w:r>
      <w:r w:rsidRPr="00CA003F">
        <w:rPr>
          <w:rFonts w:ascii="Times New Roman" w:hAnsi="Times New Roman" w:cs="Times New Roman"/>
          <w:noProof/>
          <w:sz w:val="24"/>
          <w:lang w:val="sv-SE"/>
        </w:rPr>
        <w:t xml:space="preserve">, </w:t>
      </w:r>
      <w:r w:rsidRPr="00CA003F">
        <w:rPr>
          <w:rFonts w:ascii="Times New Roman" w:hAnsi="Times New Roman" w:cs="Times New Roman"/>
          <w:i/>
          <w:iCs/>
          <w:noProof/>
          <w:sz w:val="24"/>
          <w:lang w:val="sv-SE"/>
        </w:rPr>
        <w:t>1</w:t>
      </w:r>
      <w:r w:rsidRPr="00CA003F">
        <w:rPr>
          <w:rFonts w:ascii="Times New Roman" w:hAnsi="Times New Roman" w:cs="Times New Roman"/>
          <w:noProof/>
          <w:sz w:val="24"/>
          <w:lang w:val="sv-SE"/>
        </w:rPr>
        <w:t>(1), 15–22.</w:t>
      </w:r>
    </w:p>
    <w:p w14:paraId="58E3D764" w14:textId="23BFE9FB"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rPr>
      </w:pPr>
      <w:r w:rsidRPr="00CA003F">
        <w:rPr>
          <w:rFonts w:ascii="Times New Roman" w:hAnsi="Times New Roman" w:cs="Times New Roman"/>
          <w:noProof/>
          <w:sz w:val="24"/>
          <w:lang w:val="sv-SE"/>
        </w:rPr>
        <w:t xml:space="preserve">Setyaningrat, D., Annas Mushlihin, I., &amp; Zunaidi, A. (2023). Strategi Digitalisasi Untuk Mendorong Inklusi Keuangan Nasabah Bank Syariah: Pendekatan Technology Acceptance Model (Tam). </w:t>
      </w:r>
      <w:r w:rsidRPr="00CA003F">
        <w:rPr>
          <w:rFonts w:ascii="Times New Roman" w:hAnsi="Times New Roman" w:cs="Times New Roman"/>
          <w:i/>
          <w:iCs/>
          <w:noProof/>
          <w:sz w:val="24"/>
        </w:rPr>
        <w:t>Proceedings Of Islamic Economics, Business And Philanthopy</w:t>
      </w:r>
      <w:r w:rsidRPr="00CA003F">
        <w:rPr>
          <w:rFonts w:ascii="Times New Roman" w:hAnsi="Times New Roman" w:cs="Times New Roman"/>
          <w:noProof/>
          <w:sz w:val="24"/>
        </w:rPr>
        <w:t xml:space="preserve">, </w:t>
      </w:r>
      <w:r w:rsidRPr="00CA003F">
        <w:rPr>
          <w:rFonts w:ascii="Times New Roman" w:hAnsi="Times New Roman" w:cs="Times New Roman"/>
          <w:i/>
          <w:iCs/>
          <w:noProof/>
          <w:sz w:val="24"/>
        </w:rPr>
        <w:t>2</w:t>
      </w:r>
      <w:r w:rsidRPr="00CA003F">
        <w:rPr>
          <w:rFonts w:ascii="Times New Roman" w:hAnsi="Times New Roman" w:cs="Times New Roman"/>
          <w:noProof/>
          <w:sz w:val="24"/>
        </w:rPr>
        <w:t>(1), 54–76. Https://Jurnalfebi.Iainkediri.Ac.Id/Index.Php/Proceedings</w:t>
      </w:r>
    </w:p>
    <w:p w14:paraId="37CAFD28" w14:textId="098E097E"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lang w:val="sv-SE"/>
        </w:rPr>
      </w:pPr>
      <w:r w:rsidRPr="00CA003F">
        <w:rPr>
          <w:rFonts w:ascii="Times New Roman" w:hAnsi="Times New Roman" w:cs="Times New Roman"/>
          <w:noProof/>
          <w:sz w:val="24"/>
        </w:rPr>
        <w:t xml:space="preserve">Syaiful Suib, M., &amp; Amelia, L. (2024). </w:t>
      </w:r>
      <w:r w:rsidRPr="00CA003F">
        <w:rPr>
          <w:rFonts w:ascii="Times New Roman" w:hAnsi="Times New Roman" w:cs="Times New Roman"/>
          <w:noProof/>
          <w:sz w:val="24"/>
          <w:lang w:val="sv-SE"/>
        </w:rPr>
        <w:t xml:space="preserve">Literasi Perbankan Syariah Untuk Meningkatkan Akselerasi Inklusi Keuangan (Studi Pada Bank Syariah Indonesia (Bsi) Kcp Probolinggo). </w:t>
      </w:r>
      <w:r w:rsidRPr="00CA003F">
        <w:rPr>
          <w:rFonts w:ascii="Times New Roman" w:hAnsi="Times New Roman" w:cs="Times New Roman"/>
          <w:i/>
          <w:iCs/>
          <w:noProof/>
          <w:sz w:val="24"/>
          <w:lang w:val="sv-SE"/>
        </w:rPr>
        <w:t>Wadiah</w:t>
      </w:r>
      <w:r w:rsidRPr="00CA003F">
        <w:rPr>
          <w:rFonts w:ascii="Times New Roman" w:hAnsi="Times New Roman" w:cs="Times New Roman"/>
          <w:noProof/>
          <w:sz w:val="24"/>
          <w:lang w:val="sv-SE"/>
        </w:rPr>
        <w:t xml:space="preserve">, </w:t>
      </w:r>
      <w:r w:rsidRPr="00CA003F">
        <w:rPr>
          <w:rFonts w:ascii="Times New Roman" w:hAnsi="Times New Roman" w:cs="Times New Roman"/>
          <w:i/>
          <w:iCs/>
          <w:noProof/>
          <w:sz w:val="24"/>
          <w:lang w:val="sv-SE"/>
        </w:rPr>
        <w:t>8</w:t>
      </w:r>
      <w:r w:rsidRPr="00CA003F">
        <w:rPr>
          <w:rFonts w:ascii="Times New Roman" w:hAnsi="Times New Roman" w:cs="Times New Roman"/>
          <w:noProof/>
          <w:sz w:val="24"/>
          <w:lang w:val="sv-SE"/>
        </w:rPr>
        <w:t>(2), 261–284. Https://Doi.Org/10.30762/Wadiah.V8i2.1449</w:t>
      </w:r>
    </w:p>
    <w:p w14:paraId="015EBB9B" w14:textId="7666B795" w:rsidR="00CA003F" w:rsidRPr="00CA003F" w:rsidRDefault="00CA003F" w:rsidP="00CA003F">
      <w:pPr>
        <w:widowControl w:val="0"/>
        <w:autoSpaceDE w:val="0"/>
        <w:autoSpaceDN w:val="0"/>
        <w:adjustRightInd w:val="0"/>
        <w:spacing w:line="240" w:lineRule="auto"/>
        <w:ind w:left="480" w:hanging="480"/>
        <w:jc w:val="both"/>
        <w:rPr>
          <w:rFonts w:ascii="Times New Roman" w:hAnsi="Times New Roman" w:cs="Times New Roman"/>
          <w:noProof/>
          <w:sz w:val="24"/>
          <w:lang w:val="sv-SE"/>
        </w:rPr>
      </w:pPr>
      <w:r w:rsidRPr="00CA003F">
        <w:rPr>
          <w:rFonts w:ascii="Times New Roman" w:hAnsi="Times New Roman" w:cs="Times New Roman"/>
          <w:noProof/>
          <w:sz w:val="24"/>
          <w:lang w:val="sv-SE"/>
        </w:rPr>
        <w:t xml:space="preserve">Zulkipli, Mas’ud, R., Amir Aziz, A., Azkar, M., &amp; Wajdi, F. (2025). Digitalisasi Mobile Banking Bsi Di Era Digital : Strategi, Tantangan, Dan Peluang. </w:t>
      </w:r>
      <w:r w:rsidRPr="00CA003F">
        <w:rPr>
          <w:rFonts w:ascii="Times New Roman" w:hAnsi="Times New Roman" w:cs="Times New Roman"/>
          <w:i/>
          <w:iCs/>
          <w:noProof/>
          <w:sz w:val="24"/>
          <w:lang w:val="sv-SE"/>
        </w:rPr>
        <w:t>Jurnal Al-Kharaj: Studi Ekonomi Syariah, Muamalah, Dan Hukum Ekonomi</w:t>
      </w:r>
      <w:r w:rsidRPr="00CA003F">
        <w:rPr>
          <w:rFonts w:ascii="Times New Roman" w:hAnsi="Times New Roman" w:cs="Times New Roman"/>
          <w:noProof/>
          <w:sz w:val="24"/>
          <w:lang w:val="sv-SE"/>
        </w:rPr>
        <w:t xml:space="preserve">, </w:t>
      </w:r>
      <w:r w:rsidRPr="00CA003F">
        <w:rPr>
          <w:rFonts w:ascii="Times New Roman" w:hAnsi="Times New Roman" w:cs="Times New Roman"/>
          <w:i/>
          <w:iCs/>
          <w:noProof/>
          <w:sz w:val="24"/>
          <w:lang w:val="sv-SE"/>
        </w:rPr>
        <w:t>5</w:t>
      </w:r>
      <w:r w:rsidRPr="00CA003F">
        <w:rPr>
          <w:rFonts w:ascii="Times New Roman" w:hAnsi="Times New Roman" w:cs="Times New Roman"/>
          <w:noProof/>
          <w:sz w:val="24"/>
          <w:lang w:val="sv-SE"/>
        </w:rPr>
        <w:t>, 311–326.</w:t>
      </w:r>
    </w:p>
    <w:p w14:paraId="6AF2CF00" w14:textId="32EFCA01" w:rsidR="00D801B3" w:rsidRPr="00CA003F" w:rsidRDefault="00283B7F" w:rsidP="00CA003F">
      <w:pPr>
        <w:spacing w:line="240" w:lineRule="auto"/>
        <w:jc w:val="both"/>
        <w:rPr>
          <w:rFonts w:asciiTheme="majorBidi" w:eastAsia="Book Antiqua" w:hAnsiTheme="majorBidi" w:cstheme="majorBidi"/>
          <w:b/>
          <w:color w:val="4F81BD"/>
          <w:sz w:val="24"/>
          <w:szCs w:val="24"/>
          <w:lang w:val="sv-SE"/>
        </w:rPr>
      </w:pPr>
      <w:r w:rsidRPr="00283B7F">
        <w:rPr>
          <w:rFonts w:asciiTheme="majorBidi" w:eastAsia="Book Antiqua" w:hAnsiTheme="majorBidi" w:cstheme="majorBidi"/>
          <w:b/>
          <w:color w:val="4F81BD"/>
          <w:sz w:val="24"/>
          <w:szCs w:val="24"/>
        </w:rPr>
        <w:fldChar w:fldCharType="end"/>
      </w:r>
    </w:p>
    <w:p w14:paraId="7FFC1DD8" w14:textId="77777777" w:rsidR="00D801B3" w:rsidRPr="00CA003F" w:rsidRDefault="00D801B3" w:rsidP="00CA003F">
      <w:pPr>
        <w:spacing w:line="240" w:lineRule="auto"/>
        <w:jc w:val="both"/>
        <w:rPr>
          <w:rFonts w:asciiTheme="majorBidi" w:eastAsia="Book Antiqua" w:hAnsiTheme="majorBidi" w:cstheme="majorBidi"/>
          <w:b/>
          <w:color w:val="4F81BD"/>
          <w:sz w:val="24"/>
          <w:szCs w:val="24"/>
          <w:lang w:val="sv-SE"/>
        </w:rPr>
      </w:pPr>
    </w:p>
    <w:p w14:paraId="0611E893" w14:textId="77777777" w:rsidR="00D801B3" w:rsidRPr="00CA003F" w:rsidRDefault="00D801B3" w:rsidP="00CA003F">
      <w:pPr>
        <w:spacing w:line="240" w:lineRule="auto"/>
        <w:jc w:val="both"/>
        <w:rPr>
          <w:rFonts w:ascii="Book Antiqua" w:eastAsia="Book Antiqua" w:hAnsi="Book Antiqua" w:cs="Book Antiqua"/>
          <w:b/>
          <w:color w:val="4F81BD"/>
          <w:sz w:val="24"/>
          <w:szCs w:val="24"/>
          <w:lang w:val="sv-SE"/>
        </w:rPr>
      </w:pPr>
    </w:p>
    <w:p w14:paraId="781401AD" w14:textId="77777777" w:rsidR="00D801B3" w:rsidRPr="00CA003F" w:rsidRDefault="00D801B3" w:rsidP="00CA003F">
      <w:pPr>
        <w:spacing w:line="240" w:lineRule="auto"/>
        <w:jc w:val="both"/>
        <w:rPr>
          <w:rFonts w:ascii="Book Antiqua" w:eastAsia="Book Antiqua" w:hAnsi="Book Antiqua" w:cs="Book Antiqua"/>
          <w:b/>
          <w:color w:val="4F81BD"/>
          <w:sz w:val="24"/>
          <w:szCs w:val="24"/>
          <w:lang w:val="sv-SE"/>
        </w:rPr>
      </w:pPr>
    </w:p>
    <w:p w14:paraId="3291457B" w14:textId="77777777" w:rsidR="00D801B3" w:rsidRPr="00CA003F" w:rsidRDefault="00D801B3" w:rsidP="00CA003F">
      <w:pPr>
        <w:spacing w:line="240" w:lineRule="auto"/>
        <w:ind w:left="567"/>
        <w:jc w:val="both"/>
        <w:rPr>
          <w:lang w:val="sv-SE"/>
        </w:rPr>
      </w:pPr>
    </w:p>
    <w:sectPr w:rsidR="00D801B3" w:rsidRPr="00CA003F" w:rsidSect="005D3F7B">
      <w:headerReference w:type="even" r:id="rId16"/>
      <w:headerReference w:type="default" r:id="rId17"/>
      <w:footerReference w:type="even" r:id="rId18"/>
      <w:footerReference w:type="default" r:id="rId19"/>
      <w:headerReference w:type="first" r:id="rId20"/>
      <w:footerReference w:type="first" r:id="rId21"/>
      <w:pgSz w:w="11906" w:h="16838"/>
      <w:pgMar w:top="1188" w:right="1440" w:bottom="1440" w:left="1440" w:header="709" w:footer="709" w:gutter="0"/>
      <w:pgNumType w:start="60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Ayu Kurnia Fatmawati" w:date="2026-06-24T14:06:00Z" w:initials="AF">
    <w:p w14:paraId="0167F385" w14:textId="7B76951A" w:rsidR="002A137C" w:rsidRDefault="002A137C" w:rsidP="002A137C">
      <w:pPr>
        <w:pStyle w:val="CommentText"/>
        <w:jc w:val="left"/>
      </w:pPr>
      <w:r>
        <w:rPr>
          <w:rStyle w:val="CommentReference"/>
        </w:rPr>
        <w:annotationRef/>
      </w:r>
      <w:r>
        <w:t xml:space="preserve">Beberapa bagian pembahasan hanya merangkum temuan studi lain tanpa memberikan analisis kritis atau posisi argumentatif dr penulis. </w:t>
      </w:r>
    </w:p>
  </w:comment>
  <w:comment w:id="2" w:author="Ayu Kurnia Fatmawati" w:date="2026-06-24T14:07:00Z" w:initials="AF">
    <w:p w14:paraId="000792CC" w14:textId="77777777" w:rsidR="002A137C" w:rsidRDefault="002A137C" w:rsidP="002A137C">
      <w:pPr>
        <w:pStyle w:val="CommentText"/>
        <w:jc w:val="left"/>
      </w:pPr>
      <w:r>
        <w:rPr>
          <w:rStyle w:val="CommentReference"/>
        </w:rPr>
        <w:annotationRef/>
      </w:r>
      <w:r>
        <w:t>Lengkapi dg kontribusi, keterbatasan penelitian an rekomendasi untuk penelitian selanjutnya.</w:t>
      </w:r>
    </w:p>
  </w:comment>
  <w:comment w:id="3" w:author="Ayu Kurnia Fatmawati" w:date="2026-06-24T14:08:00Z" w:initials="AF">
    <w:p w14:paraId="08DAF0F3" w14:textId="77777777" w:rsidR="002A137C" w:rsidRDefault="002A137C" w:rsidP="002A137C">
      <w:pPr>
        <w:pStyle w:val="CommentText"/>
        <w:jc w:val="left"/>
      </w:pPr>
      <w:r>
        <w:rPr>
          <w:rStyle w:val="CommentReference"/>
        </w:rPr>
        <w:annotationRef/>
      </w:r>
      <w:r>
        <w:t>Konsistensi format APA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167F385" w15:done="1"/>
  <w15:commentEx w15:paraId="000792CC" w15:done="1"/>
  <w15:commentEx w15:paraId="08DAF0F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172FA4D8" w16cex:dateUtc="2026-06-24T07:06:00Z"/>
  <w16cex:commentExtensible w16cex:durableId="08442B42" w16cex:dateUtc="2026-06-24T07:07:00Z"/>
  <w16cex:commentExtensible w16cex:durableId="537E78B7" w16cex:dateUtc="2026-06-24T07: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167F385" w16cid:durableId="172FA4D8"/>
  <w16cid:commentId w16cid:paraId="000792CC" w16cid:durableId="08442B42"/>
  <w16cid:commentId w16cid:paraId="08DAF0F3" w16cid:durableId="537E78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3D9CC8" w14:textId="77777777" w:rsidR="00137B14" w:rsidRDefault="00137B14">
      <w:pPr>
        <w:spacing w:after="0" w:line="240" w:lineRule="auto"/>
      </w:pPr>
      <w:r>
        <w:separator/>
      </w:r>
    </w:p>
  </w:endnote>
  <w:endnote w:type="continuationSeparator" w:id="0">
    <w:p w14:paraId="7D15236D" w14:textId="77777777" w:rsidR="00137B14" w:rsidRDefault="00137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AC6F7879-FB97-C64E-8FF5-AD190604600B}"/>
    <w:embedBold r:id="rId2" w:fontKey="{C5AFDBE5-A715-AC4B-ABA8-980AE319B08B}"/>
    <w:embedItalic r:id="rId3" w:fontKey="{FF5A8187-3E91-7E43-B3A9-CFAC88C13DF8}"/>
  </w:font>
  <w:font w:name="Calibri">
    <w:panose1 w:val="020F0502020204030204"/>
    <w:charset w:val="00"/>
    <w:family w:val="swiss"/>
    <w:pitch w:val="variable"/>
    <w:sig w:usb0="E4002EFF" w:usb1="C000247B" w:usb2="00000009" w:usb3="00000000" w:csb0="000001FF" w:csb1="00000000"/>
    <w:embedRegular r:id="rId4" w:fontKey="{492C93A2-713D-C64E-A42D-615C58C463DA}"/>
    <w:embedBold r:id="rId5" w:fontKey="{0FF24900-BEBD-5542-919A-7F8FB7386400}"/>
    <w:embedItalic r:id="rId6" w:fontKey="{DFFCE9E6-574F-0040-91B5-61EFF97AD30E}"/>
  </w:font>
  <w:font w:name="Quattrocento Sans">
    <w:panose1 w:val="020B0502050000020003"/>
    <w:charset w:val="00"/>
    <w:family w:val="swiss"/>
    <w:pitch w:val="variable"/>
    <w:sig w:usb0="800000BF" w:usb1="4000005B" w:usb2="00000000" w:usb3="00000000" w:csb0="00000001" w:csb1="00000000"/>
    <w:embedRegular r:id="rId7" w:fontKey="{65B3C9E6-E99A-5542-843C-0C1EB7A4906D}"/>
    <w:embedBold r:id="rId8" w:fontKey="{3FC8F533-BD50-8F4E-BB21-154A1E5EB356}"/>
  </w:font>
  <w:font w:name="Tahoma">
    <w:panose1 w:val="020B0604030504040204"/>
    <w:charset w:val="00"/>
    <w:family w:val="swiss"/>
    <w:pitch w:val="variable"/>
    <w:sig w:usb0="E1002EFF" w:usb1="C000605B" w:usb2="00000029" w:usb3="00000000" w:csb0="000101FF" w:csb1="00000000"/>
    <w:embedRegular r:id="rId9" w:fontKey="{5648E14F-81FE-9C4A-80AE-5B32887BDC22}"/>
    <w:embedBold r:id="rId10" w:fontKey="{1D194F91-C936-0040-A03D-BB8EC7E861D1}"/>
  </w:font>
  <w:font w:name="Segoe UI">
    <w:panose1 w:val="020B0502040204020203"/>
    <w:charset w:val="00"/>
    <w:family w:val="swiss"/>
    <w:pitch w:val="variable"/>
    <w:sig w:usb0="E4002EFF" w:usb1="C000E47F" w:usb2="00000009" w:usb3="00000000" w:csb0="000001FF" w:csb1="00000000"/>
    <w:embedBold r:id="rId11" w:fontKey="{2E002DDB-3632-604B-85ED-F130DF90871D}"/>
  </w:font>
  <w:font w:name="Cambria">
    <w:panose1 w:val="02040503050406030204"/>
    <w:charset w:val="00"/>
    <w:family w:val="roman"/>
    <w:pitch w:val="variable"/>
    <w:sig w:usb0="E00002FF" w:usb1="400004FF" w:usb2="00000000" w:usb3="00000000" w:csb0="0000019F" w:csb1="00000000"/>
    <w:embedRegular r:id="rId12" w:fontKey="{32C9E86F-DD89-5B47-9026-A871790DA59F}"/>
  </w:font>
  <w:font w:name="Georgia">
    <w:panose1 w:val="02040502050405020303"/>
    <w:charset w:val="00"/>
    <w:family w:val="roman"/>
    <w:pitch w:val="variable"/>
    <w:sig w:usb0="00000287" w:usb1="00000000" w:usb2="00000000" w:usb3="00000000" w:csb0="0000009F" w:csb1="00000000"/>
    <w:embedRegular r:id="rId13" w:fontKey="{5202B1CA-1044-E348-92A8-721DC53BB716}"/>
    <w:embedItalic r:id="rId14" w:fontKey="{BCAA141F-28F0-5648-A974-D79BAC3C7ACC}"/>
  </w:font>
  <w:font w:name="Book Antiqua">
    <w:panose1 w:val="02040602050305030304"/>
    <w:charset w:val="00"/>
    <w:family w:val="roman"/>
    <w:pitch w:val="variable"/>
    <w:sig w:usb0="00000287" w:usb1="00000000" w:usb2="00000000" w:usb3="00000000" w:csb0="0000009F" w:csb1="00000000"/>
    <w:embedRegular r:id="rId15" w:fontKey="{C67745FE-D1FD-504E-875C-B7E7DB7DD7BD}"/>
    <w:embedBold r:id="rId16" w:fontKey="{8E65777A-6090-1840-9D7C-4FF42DCB7B67}"/>
  </w:font>
  <w:font w:name="Arial">
    <w:panose1 w:val="020B0604020202020204"/>
    <w:charset w:val="00"/>
    <w:family w:val="swiss"/>
    <w:pitch w:val="variable"/>
    <w:sig w:usb0="E0002AFF" w:usb1="C0007843" w:usb2="00000009" w:usb3="00000000" w:csb0="000001FF" w:csb1="00000000"/>
    <w:embedRegular r:id="rId17" w:fontKey="{B313E2F8-0621-BE4D-9A98-A1B960DB94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4BA18D" w14:textId="77777777" w:rsidR="00D801B3" w:rsidRDefault="00D801B3">
    <w:pPr>
      <w:widowControl w:val="0"/>
      <w:pBdr>
        <w:top w:val="nil"/>
        <w:left w:val="nil"/>
        <w:bottom w:val="nil"/>
        <w:right w:val="nil"/>
        <w:between w:val="nil"/>
      </w:pBdr>
      <w:spacing w:after="0"/>
      <w:rPr>
        <w:color w:val="000000"/>
      </w:rPr>
    </w:pPr>
  </w:p>
  <w:tbl>
    <w:tblPr>
      <w:tblStyle w:val="a3"/>
      <w:tblW w:w="9256" w:type="dxa"/>
      <w:tblInd w:w="-115" w:type="dxa"/>
      <w:tblLayout w:type="fixed"/>
      <w:tblLook w:val="0400" w:firstRow="0" w:lastRow="0" w:firstColumn="0" w:lastColumn="0" w:noHBand="0" w:noVBand="1"/>
    </w:tblPr>
    <w:tblGrid>
      <w:gridCol w:w="926"/>
      <w:gridCol w:w="8330"/>
    </w:tblGrid>
    <w:tr w:rsidR="00D801B3" w:rsidRPr="005D3F7B" w14:paraId="07FC1F82" w14:textId="77777777">
      <w:tc>
        <w:tcPr>
          <w:tcW w:w="926" w:type="dxa"/>
          <w:tcBorders>
            <w:top w:val="single" w:sz="4" w:space="0" w:color="943734"/>
            <w:left w:val="nil"/>
            <w:bottom w:val="nil"/>
            <w:right w:val="nil"/>
          </w:tcBorders>
          <w:shd w:val="clear" w:color="auto" w:fill="00B050"/>
        </w:tcPr>
        <w:p w14:paraId="5A8189BE" w14:textId="77777777" w:rsidR="00D801B3" w:rsidRDefault="00000000">
          <w:pPr>
            <w:pBdr>
              <w:top w:val="nil"/>
              <w:left w:val="nil"/>
              <w:bottom w:val="nil"/>
              <w:right w:val="nil"/>
              <w:between w:val="nil"/>
            </w:pBdr>
            <w:tabs>
              <w:tab w:val="center" w:pos="4513"/>
              <w:tab w:val="right" w:pos="9026"/>
            </w:tabs>
            <w:spacing w:after="0"/>
            <w:jc w:val="right"/>
            <w:rPr>
              <w:rFonts w:ascii="Book Antiqua" w:eastAsia="Book Antiqua" w:hAnsi="Book Antiqua" w:cs="Book Antiqua"/>
              <w:b/>
              <w:color w:val="FFFFFF"/>
            </w:rPr>
          </w:pPr>
          <w:r>
            <w:rPr>
              <w:rFonts w:ascii="Book Antiqua" w:eastAsia="Book Antiqua" w:hAnsi="Book Antiqua" w:cs="Book Antiqua"/>
              <w:color w:val="000000"/>
            </w:rPr>
            <w:fldChar w:fldCharType="begin"/>
          </w:r>
          <w:r>
            <w:rPr>
              <w:rFonts w:ascii="Book Antiqua" w:eastAsia="Book Antiqua" w:hAnsi="Book Antiqua" w:cs="Book Antiqua"/>
              <w:color w:val="000000"/>
            </w:rPr>
            <w:instrText>PAGE</w:instrText>
          </w:r>
          <w:r>
            <w:rPr>
              <w:rFonts w:ascii="Book Antiqua" w:eastAsia="Book Antiqua" w:hAnsi="Book Antiqua" w:cs="Book Antiqua"/>
              <w:color w:val="000000"/>
            </w:rPr>
            <w:fldChar w:fldCharType="separate"/>
          </w:r>
          <w:r w:rsidR="00283B7F">
            <w:rPr>
              <w:rFonts w:ascii="Book Antiqua" w:eastAsia="Book Antiqua" w:hAnsi="Book Antiqua" w:cs="Book Antiqua"/>
              <w:noProof/>
              <w:color w:val="000000"/>
            </w:rPr>
            <w:t>2</w:t>
          </w:r>
          <w:r>
            <w:rPr>
              <w:rFonts w:ascii="Book Antiqua" w:eastAsia="Book Antiqua" w:hAnsi="Book Antiqua" w:cs="Book Antiqua"/>
              <w:color w:val="000000"/>
            </w:rPr>
            <w:fldChar w:fldCharType="end"/>
          </w:r>
        </w:p>
      </w:tc>
      <w:tc>
        <w:tcPr>
          <w:tcW w:w="8330" w:type="dxa"/>
          <w:tcBorders>
            <w:top w:val="single" w:sz="4" w:space="0" w:color="000000"/>
            <w:left w:val="nil"/>
            <w:bottom w:val="nil"/>
            <w:right w:val="nil"/>
          </w:tcBorders>
        </w:tcPr>
        <w:p w14:paraId="368E310A" w14:textId="095B04B2" w:rsidR="00D801B3" w:rsidRPr="005D3F7B" w:rsidRDefault="00000000">
          <w:pPr>
            <w:pBdr>
              <w:top w:val="nil"/>
              <w:left w:val="nil"/>
              <w:bottom w:val="nil"/>
              <w:right w:val="nil"/>
              <w:between w:val="nil"/>
            </w:pBdr>
            <w:tabs>
              <w:tab w:val="center" w:pos="4513"/>
              <w:tab w:val="right" w:pos="9026"/>
            </w:tabs>
            <w:spacing w:after="0"/>
            <w:rPr>
              <w:color w:val="000000"/>
            </w:rPr>
          </w:pPr>
          <w:r w:rsidRPr="005D3F7B">
            <w:rPr>
              <w:rFonts w:ascii="Book Antiqua" w:eastAsia="Book Antiqua" w:hAnsi="Book Antiqua" w:cs="Book Antiqua"/>
              <w:b/>
              <w:color w:val="000000"/>
              <w:sz w:val="20"/>
              <w:szCs w:val="20"/>
            </w:rPr>
            <w:t>https://samsonjournal.com/</w:t>
          </w:r>
          <w:r w:rsidRPr="005D3F7B">
            <w:rPr>
              <w:color w:val="000000"/>
            </w:rPr>
            <w:t>|</w:t>
          </w:r>
          <w:r w:rsidR="005D3F7B">
            <w:t xml:space="preserve"> </w:t>
          </w:r>
          <w:r w:rsidR="005D3F7B" w:rsidRPr="005D3F7B">
            <w:rPr>
              <w:rFonts w:ascii="Book Antiqua" w:eastAsia="Book Antiqua" w:hAnsi="Book Antiqua" w:cs="Book Antiqua"/>
              <w:b/>
              <w:color w:val="000000"/>
              <w:sz w:val="20"/>
              <w:szCs w:val="20"/>
            </w:rPr>
            <w:t>Journal of Islamic Economics</w:t>
          </w:r>
        </w:p>
      </w:tc>
    </w:tr>
  </w:tbl>
  <w:p w14:paraId="6E516DA7" w14:textId="77777777" w:rsidR="00D801B3" w:rsidRPr="005D3F7B" w:rsidRDefault="00D801B3">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2A611C" w14:textId="77777777" w:rsidR="00D801B3" w:rsidRDefault="00D801B3">
    <w:pPr>
      <w:widowControl w:val="0"/>
      <w:pBdr>
        <w:top w:val="nil"/>
        <w:left w:val="nil"/>
        <w:bottom w:val="nil"/>
        <w:right w:val="nil"/>
        <w:between w:val="nil"/>
      </w:pBdr>
      <w:spacing w:after="0"/>
      <w:rPr>
        <w:color w:val="000000"/>
      </w:rPr>
    </w:pPr>
  </w:p>
  <w:tbl>
    <w:tblPr>
      <w:tblStyle w:val="a4"/>
      <w:tblW w:w="9256" w:type="dxa"/>
      <w:tblInd w:w="-115" w:type="dxa"/>
      <w:tblLayout w:type="fixed"/>
      <w:tblLook w:val="0400" w:firstRow="0" w:lastRow="0" w:firstColumn="0" w:lastColumn="0" w:noHBand="0" w:noVBand="1"/>
    </w:tblPr>
    <w:tblGrid>
      <w:gridCol w:w="8330"/>
      <w:gridCol w:w="926"/>
    </w:tblGrid>
    <w:tr w:rsidR="00D801B3" w14:paraId="05084BB4" w14:textId="77777777">
      <w:tc>
        <w:tcPr>
          <w:tcW w:w="8330" w:type="dxa"/>
          <w:tcBorders>
            <w:top w:val="single" w:sz="4" w:space="0" w:color="000000"/>
            <w:left w:val="nil"/>
            <w:bottom w:val="nil"/>
            <w:right w:val="nil"/>
          </w:tcBorders>
        </w:tcPr>
        <w:p w14:paraId="13DC292B" w14:textId="6989E97A" w:rsidR="00D801B3" w:rsidRPr="005D3F7B" w:rsidRDefault="005D3F7B">
          <w:pPr>
            <w:pBdr>
              <w:top w:val="nil"/>
              <w:left w:val="nil"/>
              <w:bottom w:val="nil"/>
              <w:right w:val="nil"/>
              <w:between w:val="nil"/>
            </w:pBdr>
            <w:tabs>
              <w:tab w:val="center" w:pos="4513"/>
              <w:tab w:val="right" w:pos="9026"/>
            </w:tabs>
            <w:spacing w:after="0"/>
            <w:jc w:val="right"/>
            <w:rPr>
              <w:b/>
              <w:color w:val="000000"/>
            </w:rPr>
          </w:pPr>
          <w:r w:rsidRPr="005D3F7B">
            <w:rPr>
              <w:rFonts w:ascii="Book Antiqua" w:eastAsia="Book Antiqua" w:hAnsi="Book Antiqua" w:cs="Book Antiqua"/>
              <w:b/>
              <w:color w:val="000000"/>
              <w:sz w:val="20"/>
              <w:szCs w:val="20"/>
            </w:rPr>
            <w:t xml:space="preserve">Journal of Islamic Economics </w:t>
          </w:r>
          <w:r w:rsidRPr="005D3F7B">
            <w:rPr>
              <w:b/>
              <w:color w:val="000000"/>
            </w:rPr>
            <w:t xml:space="preserve">| </w:t>
          </w:r>
          <w:hyperlink r:id="rId1">
            <w:r w:rsidR="00D801B3" w:rsidRPr="005D3F7B">
              <w:rPr>
                <w:rFonts w:ascii="Book Antiqua" w:eastAsia="Book Antiqua" w:hAnsi="Book Antiqua" w:cs="Book Antiqua"/>
                <w:b/>
                <w:color w:val="0000FF"/>
                <w:sz w:val="20"/>
                <w:szCs w:val="20"/>
                <w:u w:val="single"/>
              </w:rPr>
              <w:t>https://samsonjournal.com/</w:t>
            </w:r>
          </w:hyperlink>
          <w:r w:rsidRPr="005D3F7B">
            <w:rPr>
              <w:rFonts w:ascii="Book Antiqua" w:eastAsia="Book Antiqua" w:hAnsi="Book Antiqua" w:cs="Book Antiqua"/>
              <w:b/>
              <w:color w:val="000000"/>
              <w:sz w:val="20"/>
              <w:szCs w:val="20"/>
            </w:rPr>
            <w:t xml:space="preserve"> </w:t>
          </w:r>
        </w:p>
      </w:tc>
      <w:tc>
        <w:tcPr>
          <w:tcW w:w="926" w:type="dxa"/>
          <w:tcBorders>
            <w:top w:val="single" w:sz="4" w:space="0" w:color="C0504D"/>
            <w:left w:val="nil"/>
            <w:bottom w:val="nil"/>
            <w:right w:val="nil"/>
          </w:tcBorders>
          <w:shd w:val="clear" w:color="auto" w:fill="00B050"/>
        </w:tcPr>
        <w:p w14:paraId="002420BB" w14:textId="4A2FBD86" w:rsidR="00D801B3" w:rsidRDefault="00000000">
          <w:pPr>
            <w:pBdr>
              <w:top w:val="nil"/>
              <w:left w:val="nil"/>
              <w:bottom w:val="nil"/>
              <w:right w:val="nil"/>
              <w:between w:val="nil"/>
            </w:pBdr>
            <w:tabs>
              <w:tab w:val="center" w:pos="4513"/>
              <w:tab w:val="right" w:pos="9026"/>
            </w:tabs>
            <w:spacing w:after="0"/>
            <w:rPr>
              <w:rFonts w:ascii="Book Antiqua" w:eastAsia="Book Antiqua" w:hAnsi="Book Antiqua" w:cs="Book Antiqua"/>
              <w:color w:val="FFFFFF"/>
            </w:rPr>
          </w:pPr>
          <w:r>
            <w:rPr>
              <w:rFonts w:ascii="Book Antiqua" w:eastAsia="Book Antiqua" w:hAnsi="Book Antiqua" w:cs="Book Antiqua"/>
              <w:color w:val="000000"/>
            </w:rPr>
            <w:fldChar w:fldCharType="begin"/>
          </w:r>
          <w:r>
            <w:rPr>
              <w:rFonts w:ascii="Book Antiqua" w:eastAsia="Book Antiqua" w:hAnsi="Book Antiqua" w:cs="Book Antiqua"/>
              <w:color w:val="000000"/>
            </w:rPr>
            <w:instrText>PAGE</w:instrText>
          </w:r>
          <w:r>
            <w:rPr>
              <w:rFonts w:ascii="Book Antiqua" w:eastAsia="Book Antiqua" w:hAnsi="Book Antiqua" w:cs="Book Antiqua"/>
              <w:color w:val="000000"/>
            </w:rPr>
            <w:fldChar w:fldCharType="separate"/>
          </w:r>
          <w:r w:rsidR="00283B7F">
            <w:rPr>
              <w:rFonts w:ascii="Book Antiqua" w:eastAsia="Book Antiqua" w:hAnsi="Book Antiqua" w:cs="Book Antiqua"/>
              <w:noProof/>
              <w:color w:val="000000"/>
            </w:rPr>
            <w:t>3</w:t>
          </w:r>
          <w:r>
            <w:rPr>
              <w:rFonts w:ascii="Book Antiqua" w:eastAsia="Book Antiqua" w:hAnsi="Book Antiqua" w:cs="Book Antiqua"/>
              <w:color w:val="000000"/>
            </w:rPr>
            <w:fldChar w:fldCharType="end"/>
          </w:r>
        </w:p>
      </w:tc>
    </w:tr>
  </w:tbl>
  <w:p w14:paraId="2A4CDA7C" w14:textId="77777777" w:rsidR="00D801B3" w:rsidRDefault="00D801B3">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560ABC" w14:textId="77777777" w:rsidR="00D801B3" w:rsidRDefault="00D801B3">
    <w:pPr>
      <w:widowControl w:val="0"/>
      <w:pBdr>
        <w:top w:val="nil"/>
        <w:left w:val="nil"/>
        <w:bottom w:val="nil"/>
        <w:right w:val="nil"/>
        <w:between w:val="nil"/>
      </w:pBdr>
      <w:spacing w:after="0"/>
      <w:rPr>
        <w:color w:val="000000"/>
      </w:rPr>
    </w:pPr>
  </w:p>
  <w:tbl>
    <w:tblPr>
      <w:tblStyle w:val="a5"/>
      <w:tblW w:w="9256" w:type="dxa"/>
      <w:tblInd w:w="-115" w:type="dxa"/>
      <w:tblLayout w:type="fixed"/>
      <w:tblLook w:val="0400" w:firstRow="0" w:lastRow="0" w:firstColumn="0" w:lastColumn="0" w:noHBand="0" w:noVBand="1"/>
    </w:tblPr>
    <w:tblGrid>
      <w:gridCol w:w="8330"/>
      <w:gridCol w:w="926"/>
    </w:tblGrid>
    <w:tr w:rsidR="00D801B3" w14:paraId="5E0C1BBD" w14:textId="77777777">
      <w:tc>
        <w:tcPr>
          <w:tcW w:w="8330" w:type="dxa"/>
          <w:tcBorders>
            <w:top w:val="single" w:sz="4" w:space="0" w:color="000000"/>
            <w:left w:val="nil"/>
            <w:bottom w:val="nil"/>
            <w:right w:val="nil"/>
          </w:tcBorders>
        </w:tcPr>
        <w:p w14:paraId="34E6A105" w14:textId="073F776D" w:rsidR="00D801B3" w:rsidRPr="00283B7F" w:rsidRDefault="005167EE">
          <w:pPr>
            <w:pBdr>
              <w:top w:val="nil"/>
              <w:left w:val="nil"/>
              <w:bottom w:val="nil"/>
              <w:right w:val="nil"/>
              <w:between w:val="nil"/>
            </w:pBdr>
            <w:tabs>
              <w:tab w:val="center" w:pos="4513"/>
              <w:tab w:val="right" w:pos="9026"/>
            </w:tabs>
            <w:spacing w:after="0"/>
            <w:jc w:val="right"/>
            <w:rPr>
              <w:b/>
              <w:color w:val="000000"/>
              <w:lang w:val="sv-SE"/>
            </w:rPr>
          </w:pPr>
          <w:r w:rsidRPr="005167EE">
            <w:rPr>
              <w:rFonts w:ascii="Book Antiqua" w:eastAsia="Book Antiqua" w:hAnsi="Book Antiqua" w:cs="Book Antiqua"/>
              <w:b/>
              <w:color w:val="000000"/>
              <w:sz w:val="20"/>
              <w:szCs w:val="20"/>
              <w:lang w:val="sv-SE"/>
            </w:rPr>
            <w:t xml:space="preserve">Journal of Islamic Economics </w:t>
          </w:r>
          <w:r w:rsidRPr="00283B7F">
            <w:rPr>
              <w:b/>
              <w:color w:val="000000"/>
              <w:lang w:val="sv-SE"/>
            </w:rPr>
            <w:t xml:space="preserve">| </w:t>
          </w:r>
          <w:r w:rsidRPr="00283B7F">
            <w:rPr>
              <w:color w:val="000000"/>
              <w:lang w:val="sv-SE"/>
            </w:rPr>
            <w:t xml:space="preserve"> </w:t>
          </w:r>
          <w:r w:rsidRPr="00283B7F">
            <w:rPr>
              <w:rFonts w:ascii="Book Antiqua" w:eastAsia="Book Antiqua" w:hAnsi="Book Antiqua" w:cs="Book Antiqua"/>
              <w:b/>
              <w:color w:val="000000"/>
              <w:sz w:val="20"/>
              <w:szCs w:val="20"/>
              <w:lang w:val="sv-SE"/>
            </w:rPr>
            <w:t xml:space="preserve">https://samsonjournal.com </w:t>
          </w:r>
          <w:r w:rsidRPr="00283B7F">
            <w:rPr>
              <w:b/>
              <w:color w:val="000000"/>
              <w:lang w:val="sv-SE"/>
            </w:rPr>
            <w:t xml:space="preserve">  </w:t>
          </w:r>
        </w:p>
      </w:tc>
      <w:tc>
        <w:tcPr>
          <w:tcW w:w="926" w:type="dxa"/>
          <w:tcBorders>
            <w:top w:val="single" w:sz="4" w:space="0" w:color="C0504D"/>
            <w:left w:val="nil"/>
            <w:bottom w:val="nil"/>
            <w:right w:val="nil"/>
          </w:tcBorders>
          <w:shd w:val="clear" w:color="auto" w:fill="00C85A"/>
        </w:tcPr>
        <w:p w14:paraId="0EBC04AD" w14:textId="77777777" w:rsidR="00D801B3" w:rsidRDefault="00000000">
          <w:pPr>
            <w:pBdr>
              <w:top w:val="nil"/>
              <w:left w:val="nil"/>
              <w:bottom w:val="nil"/>
              <w:right w:val="nil"/>
              <w:between w:val="nil"/>
            </w:pBdr>
            <w:tabs>
              <w:tab w:val="center" w:pos="4513"/>
              <w:tab w:val="right" w:pos="9026"/>
            </w:tabs>
            <w:spacing w:after="0"/>
            <w:rPr>
              <w:rFonts w:ascii="Book Antiqua" w:eastAsia="Book Antiqua" w:hAnsi="Book Antiqua" w:cs="Book Antiqua"/>
              <w:color w:val="FFFFFF"/>
            </w:rPr>
          </w:pPr>
          <w:r>
            <w:rPr>
              <w:rFonts w:ascii="Book Antiqua" w:eastAsia="Book Antiqua" w:hAnsi="Book Antiqua" w:cs="Book Antiqua"/>
              <w:color w:val="000000"/>
            </w:rPr>
            <w:fldChar w:fldCharType="begin"/>
          </w:r>
          <w:r>
            <w:rPr>
              <w:rFonts w:ascii="Book Antiqua" w:eastAsia="Book Antiqua" w:hAnsi="Book Antiqua" w:cs="Book Antiqua"/>
              <w:color w:val="000000"/>
            </w:rPr>
            <w:instrText>PAGE</w:instrText>
          </w:r>
          <w:r>
            <w:rPr>
              <w:rFonts w:ascii="Book Antiqua" w:eastAsia="Book Antiqua" w:hAnsi="Book Antiqua" w:cs="Book Antiqua"/>
              <w:color w:val="000000"/>
            </w:rPr>
            <w:fldChar w:fldCharType="separate"/>
          </w:r>
          <w:r w:rsidR="00283B7F">
            <w:rPr>
              <w:rFonts w:ascii="Book Antiqua" w:eastAsia="Book Antiqua" w:hAnsi="Book Antiqua" w:cs="Book Antiqua"/>
              <w:noProof/>
              <w:color w:val="000000"/>
            </w:rPr>
            <w:t>1</w:t>
          </w:r>
          <w:r>
            <w:rPr>
              <w:rFonts w:ascii="Book Antiqua" w:eastAsia="Book Antiqua" w:hAnsi="Book Antiqua" w:cs="Book Antiqua"/>
              <w:color w:val="000000"/>
            </w:rPr>
            <w:fldChar w:fldCharType="end"/>
          </w:r>
        </w:p>
      </w:tc>
    </w:tr>
  </w:tbl>
  <w:p w14:paraId="11911906" w14:textId="77777777" w:rsidR="00D801B3" w:rsidRDefault="00D801B3">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6B1B6B" w14:textId="77777777" w:rsidR="00137B14" w:rsidRDefault="00137B14">
      <w:pPr>
        <w:spacing w:after="0" w:line="240" w:lineRule="auto"/>
      </w:pPr>
      <w:r>
        <w:separator/>
      </w:r>
    </w:p>
  </w:footnote>
  <w:footnote w:type="continuationSeparator" w:id="0">
    <w:p w14:paraId="0D459251" w14:textId="77777777" w:rsidR="00137B14" w:rsidRDefault="00137B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84D51E" w14:textId="77777777" w:rsidR="00D801B3" w:rsidRDefault="00D801B3">
    <w:pPr>
      <w:widowControl w:val="0"/>
      <w:pBdr>
        <w:top w:val="nil"/>
        <w:left w:val="nil"/>
        <w:bottom w:val="nil"/>
        <w:right w:val="nil"/>
        <w:between w:val="nil"/>
      </w:pBdr>
      <w:spacing w:after="0"/>
    </w:pPr>
  </w:p>
  <w:tbl>
    <w:tblPr>
      <w:tblStyle w:val="a1"/>
      <w:tblW w:w="9256" w:type="dxa"/>
      <w:tblInd w:w="-115" w:type="dxa"/>
      <w:tblLayout w:type="fixed"/>
      <w:tblLook w:val="0400" w:firstRow="0" w:lastRow="0" w:firstColumn="0" w:lastColumn="0" w:noHBand="0" w:noVBand="1"/>
    </w:tblPr>
    <w:tblGrid>
      <w:gridCol w:w="2777"/>
      <w:gridCol w:w="6479"/>
    </w:tblGrid>
    <w:tr w:rsidR="00D801B3" w14:paraId="56B38160" w14:textId="77777777">
      <w:tc>
        <w:tcPr>
          <w:tcW w:w="2777" w:type="dxa"/>
          <w:tcBorders>
            <w:top w:val="nil"/>
            <w:left w:val="nil"/>
            <w:bottom w:val="single" w:sz="4" w:space="0" w:color="943734"/>
            <w:right w:val="nil"/>
          </w:tcBorders>
          <w:shd w:val="clear" w:color="auto" w:fill="00B050"/>
          <w:vAlign w:val="bottom"/>
        </w:tcPr>
        <w:p w14:paraId="14F0B9AA" w14:textId="6D8BBF0C" w:rsidR="00D801B3" w:rsidRDefault="00000000">
          <w:pPr>
            <w:pBdr>
              <w:top w:val="nil"/>
              <w:left w:val="nil"/>
              <w:bottom w:val="nil"/>
              <w:right w:val="nil"/>
              <w:between w:val="nil"/>
            </w:pBdr>
            <w:tabs>
              <w:tab w:val="center" w:pos="4513"/>
              <w:tab w:val="right" w:pos="9026"/>
            </w:tabs>
            <w:spacing w:after="0"/>
            <w:jc w:val="right"/>
            <w:rPr>
              <w:rFonts w:ascii="Book Antiqua" w:eastAsia="Book Antiqua" w:hAnsi="Book Antiqua" w:cs="Book Antiqua"/>
              <w:b/>
              <w:color w:val="FFFFFF"/>
              <w:sz w:val="20"/>
              <w:szCs w:val="20"/>
            </w:rPr>
          </w:pPr>
          <w:r>
            <w:rPr>
              <w:rFonts w:ascii="Book Antiqua" w:eastAsia="Book Antiqua" w:hAnsi="Book Antiqua" w:cs="Book Antiqua"/>
              <w:b/>
              <w:color w:val="FFFFFF"/>
              <w:sz w:val="20"/>
              <w:szCs w:val="20"/>
            </w:rPr>
            <w:t xml:space="preserve">Vol. </w:t>
          </w:r>
          <w:r w:rsidR="005D3F7B">
            <w:rPr>
              <w:rFonts w:ascii="Book Antiqua" w:eastAsia="Book Antiqua" w:hAnsi="Book Antiqua" w:cs="Book Antiqua"/>
              <w:b/>
              <w:color w:val="FFFFFF"/>
              <w:sz w:val="20"/>
              <w:szCs w:val="20"/>
            </w:rPr>
            <w:t>4</w:t>
          </w:r>
          <w:r>
            <w:rPr>
              <w:rFonts w:ascii="Book Antiqua" w:eastAsia="Book Antiqua" w:hAnsi="Book Antiqua" w:cs="Book Antiqua"/>
              <w:b/>
              <w:color w:val="FFFFFF"/>
              <w:sz w:val="20"/>
              <w:szCs w:val="20"/>
            </w:rPr>
            <w:t xml:space="preserve">, No. </w:t>
          </w:r>
          <w:r w:rsidR="005D3F7B">
            <w:rPr>
              <w:rFonts w:ascii="Book Antiqua" w:eastAsia="Book Antiqua" w:hAnsi="Book Antiqua" w:cs="Book Antiqua"/>
              <w:b/>
              <w:color w:val="FFFFFF"/>
              <w:sz w:val="20"/>
              <w:szCs w:val="20"/>
            </w:rPr>
            <w:t>2</w:t>
          </w:r>
          <w:r>
            <w:rPr>
              <w:rFonts w:ascii="Book Antiqua" w:eastAsia="Book Antiqua" w:hAnsi="Book Antiqua" w:cs="Book Antiqua"/>
              <w:b/>
              <w:color w:val="FFFFFF"/>
              <w:sz w:val="20"/>
              <w:szCs w:val="20"/>
            </w:rPr>
            <w:t xml:space="preserve">, </w:t>
          </w:r>
          <w:r w:rsidR="005D3F7B">
            <w:rPr>
              <w:rFonts w:ascii="Book Antiqua" w:eastAsia="Book Antiqua" w:hAnsi="Book Antiqua" w:cs="Book Antiqua"/>
              <w:b/>
              <w:color w:val="FFFFFF"/>
              <w:sz w:val="20"/>
              <w:szCs w:val="20"/>
            </w:rPr>
            <w:t>June 2026</w:t>
          </w:r>
        </w:p>
      </w:tc>
      <w:tc>
        <w:tcPr>
          <w:tcW w:w="6479" w:type="dxa"/>
          <w:tcBorders>
            <w:top w:val="nil"/>
            <w:left w:val="nil"/>
            <w:bottom w:val="single" w:sz="4" w:space="0" w:color="000000"/>
            <w:right w:val="nil"/>
          </w:tcBorders>
          <w:vAlign w:val="bottom"/>
        </w:tcPr>
        <w:p w14:paraId="720F7975" w14:textId="1B7D7CC5" w:rsidR="00D801B3" w:rsidRDefault="00000000">
          <w:pPr>
            <w:pBdr>
              <w:top w:val="nil"/>
              <w:left w:val="nil"/>
              <w:bottom w:val="nil"/>
              <w:right w:val="nil"/>
              <w:between w:val="nil"/>
            </w:pBdr>
            <w:tabs>
              <w:tab w:val="center" w:pos="4513"/>
              <w:tab w:val="right" w:pos="9026"/>
            </w:tabs>
            <w:spacing w:after="0"/>
            <w:rPr>
              <w:rFonts w:ascii="Book Antiqua" w:eastAsia="Book Antiqua" w:hAnsi="Book Antiqua" w:cs="Book Antiqua"/>
              <w:b/>
              <w:smallCaps/>
              <w:color w:val="000000"/>
              <w:sz w:val="20"/>
              <w:szCs w:val="20"/>
            </w:rPr>
          </w:pPr>
          <w:r>
            <w:rPr>
              <w:rFonts w:ascii="Book Antiqua" w:eastAsia="Book Antiqua" w:hAnsi="Book Antiqua" w:cs="Book Antiqua"/>
              <w:b/>
              <w:color w:val="76923C"/>
              <w:sz w:val="20"/>
              <w:szCs w:val="20"/>
            </w:rPr>
            <w:t>[</w:t>
          </w:r>
          <w:r w:rsidR="005D3F7B" w:rsidRPr="005D3F7B">
            <w:rPr>
              <w:rFonts w:ascii="Book Antiqua" w:eastAsia="Book Antiqua" w:hAnsi="Book Antiqua" w:cs="Book Antiqua"/>
              <w:b/>
              <w:color w:val="000000"/>
              <w:sz w:val="20"/>
              <w:szCs w:val="20"/>
            </w:rPr>
            <w:t xml:space="preserve">Digital Transformation </w:t>
          </w:r>
          <w:r w:rsidR="005D3F7B">
            <w:rPr>
              <w:rFonts w:ascii="Book Antiqua" w:eastAsia="Book Antiqua" w:hAnsi="Book Antiqua" w:cs="Book Antiqua"/>
              <w:b/>
              <w:color w:val="000000"/>
              <w:sz w:val="20"/>
              <w:szCs w:val="20"/>
            </w:rPr>
            <w:t>o</w:t>
          </w:r>
          <w:r w:rsidR="005D3F7B" w:rsidRPr="005D3F7B">
            <w:rPr>
              <w:rFonts w:ascii="Book Antiqua" w:eastAsia="Book Antiqua" w:hAnsi="Book Antiqua" w:cs="Book Antiqua"/>
              <w:b/>
              <w:color w:val="000000"/>
              <w:sz w:val="20"/>
              <w:szCs w:val="20"/>
            </w:rPr>
            <w:t xml:space="preserve">f Islamic Banking </w:t>
          </w:r>
          <w:r w:rsidR="005D3F7B">
            <w:rPr>
              <w:rFonts w:ascii="Book Antiqua" w:eastAsia="Book Antiqua" w:hAnsi="Book Antiqua" w:cs="Book Antiqua"/>
              <w:b/>
              <w:color w:val="000000"/>
              <w:sz w:val="20"/>
              <w:szCs w:val="20"/>
            </w:rPr>
            <w:t>i</w:t>
          </w:r>
          <w:r w:rsidR="005D3F7B" w:rsidRPr="005D3F7B">
            <w:rPr>
              <w:rFonts w:ascii="Book Antiqua" w:eastAsia="Book Antiqua" w:hAnsi="Book Antiqua" w:cs="Book Antiqua"/>
              <w:b/>
              <w:color w:val="000000"/>
              <w:sz w:val="20"/>
              <w:szCs w:val="20"/>
            </w:rPr>
            <w:t xml:space="preserve">n Indonesia: Analyzing Opportunities, Challenges, </w:t>
          </w:r>
          <w:r w:rsidR="005D3F7B">
            <w:rPr>
              <w:rFonts w:ascii="Book Antiqua" w:eastAsia="Book Antiqua" w:hAnsi="Book Antiqua" w:cs="Book Antiqua"/>
              <w:b/>
              <w:color w:val="000000"/>
              <w:sz w:val="20"/>
              <w:szCs w:val="20"/>
            </w:rPr>
            <w:t>a</w:t>
          </w:r>
          <w:r w:rsidR="005D3F7B" w:rsidRPr="005D3F7B">
            <w:rPr>
              <w:rFonts w:ascii="Book Antiqua" w:eastAsia="Book Antiqua" w:hAnsi="Book Antiqua" w:cs="Book Antiqua"/>
              <w:b/>
              <w:color w:val="000000"/>
              <w:sz w:val="20"/>
              <w:szCs w:val="20"/>
            </w:rPr>
            <w:t xml:space="preserve">nd Strategies </w:t>
          </w:r>
          <w:r w:rsidR="005D3F7B">
            <w:rPr>
              <w:rFonts w:ascii="Book Antiqua" w:eastAsia="Book Antiqua" w:hAnsi="Book Antiqua" w:cs="Book Antiqua"/>
              <w:b/>
              <w:color w:val="000000"/>
              <w:sz w:val="20"/>
              <w:szCs w:val="20"/>
            </w:rPr>
            <w:t>f</w:t>
          </w:r>
          <w:r w:rsidR="005D3F7B" w:rsidRPr="005D3F7B">
            <w:rPr>
              <w:rFonts w:ascii="Book Antiqua" w:eastAsia="Book Antiqua" w:hAnsi="Book Antiqua" w:cs="Book Antiqua"/>
              <w:b/>
              <w:color w:val="000000"/>
              <w:sz w:val="20"/>
              <w:szCs w:val="20"/>
            </w:rPr>
            <w:t xml:space="preserve">or Enhancing Competitiveness </w:t>
          </w:r>
          <w:r w:rsidR="005D3F7B">
            <w:rPr>
              <w:rFonts w:ascii="Book Antiqua" w:eastAsia="Book Antiqua" w:hAnsi="Book Antiqua" w:cs="Book Antiqua"/>
              <w:b/>
              <w:color w:val="000000"/>
              <w:sz w:val="20"/>
              <w:szCs w:val="20"/>
            </w:rPr>
            <w:t>i</w:t>
          </w:r>
          <w:r w:rsidR="005D3F7B" w:rsidRPr="005D3F7B">
            <w:rPr>
              <w:rFonts w:ascii="Book Antiqua" w:eastAsia="Book Antiqua" w:hAnsi="Book Antiqua" w:cs="Book Antiqua"/>
              <w:b/>
              <w:color w:val="000000"/>
              <w:sz w:val="20"/>
              <w:szCs w:val="20"/>
            </w:rPr>
            <w:t xml:space="preserve">n </w:t>
          </w:r>
          <w:r w:rsidR="005D3F7B">
            <w:rPr>
              <w:rFonts w:ascii="Book Antiqua" w:eastAsia="Book Antiqua" w:hAnsi="Book Antiqua" w:cs="Book Antiqua"/>
              <w:b/>
              <w:color w:val="000000"/>
              <w:sz w:val="20"/>
              <w:szCs w:val="20"/>
            </w:rPr>
            <w:t>t</w:t>
          </w:r>
          <w:r w:rsidR="005D3F7B" w:rsidRPr="005D3F7B">
            <w:rPr>
              <w:rFonts w:ascii="Book Antiqua" w:eastAsia="Book Antiqua" w:hAnsi="Book Antiqua" w:cs="Book Antiqua"/>
              <w:b/>
              <w:color w:val="000000"/>
              <w:sz w:val="20"/>
              <w:szCs w:val="20"/>
            </w:rPr>
            <w:t>he Digital Economy Era</w:t>
          </w:r>
          <w:r w:rsidR="005D3F7B">
            <w:rPr>
              <w:b/>
              <w:color w:val="76923C"/>
              <w:sz w:val="24"/>
              <w:szCs w:val="24"/>
            </w:rPr>
            <w:t>]</w:t>
          </w:r>
        </w:p>
      </w:tc>
    </w:tr>
  </w:tbl>
  <w:p w14:paraId="3F773417" w14:textId="77777777" w:rsidR="00D801B3" w:rsidRDefault="00D801B3">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AE7211" w14:textId="77777777" w:rsidR="00D801B3" w:rsidRDefault="00D801B3">
    <w:pPr>
      <w:widowControl w:val="0"/>
      <w:pBdr>
        <w:top w:val="nil"/>
        <w:left w:val="nil"/>
        <w:bottom w:val="nil"/>
        <w:right w:val="nil"/>
        <w:between w:val="nil"/>
      </w:pBdr>
      <w:spacing w:after="0"/>
      <w:rPr>
        <w:color w:val="000000"/>
      </w:rPr>
    </w:pPr>
  </w:p>
  <w:tbl>
    <w:tblPr>
      <w:tblStyle w:val="a2"/>
      <w:tblW w:w="9256" w:type="dxa"/>
      <w:tblInd w:w="-115" w:type="dxa"/>
      <w:tblLayout w:type="fixed"/>
      <w:tblLook w:val="0400" w:firstRow="0" w:lastRow="0" w:firstColumn="0" w:lastColumn="0" w:noHBand="0" w:noVBand="1"/>
    </w:tblPr>
    <w:tblGrid>
      <w:gridCol w:w="6479"/>
      <w:gridCol w:w="2777"/>
    </w:tblGrid>
    <w:tr w:rsidR="00D801B3" w14:paraId="137F2691" w14:textId="77777777">
      <w:tc>
        <w:tcPr>
          <w:tcW w:w="6479" w:type="dxa"/>
          <w:tcBorders>
            <w:top w:val="nil"/>
            <w:left w:val="nil"/>
            <w:bottom w:val="single" w:sz="4" w:space="0" w:color="000000"/>
            <w:right w:val="nil"/>
          </w:tcBorders>
          <w:vAlign w:val="bottom"/>
        </w:tcPr>
        <w:p w14:paraId="6E5AFB8C" w14:textId="181B68E0" w:rsidR="00D801B3" w:rsidRDefault="00000000">
          <w:pPr>
            <w:pBdr>
              <w:top w:val="nil"/>
              <w:left w:val="nil"/>
              <w:bottom w:val="nil"/>
              <w:right w:val="nil"/>
              <w:between w:val="nil"/>
            </w:pBdr>
            <w:tabs>
              <w:tab w:val="center" w:pos="4513"/>
              <w:tab w:val="right" w:pos="9026"/>
            </w:tabs>
            <w:spacing w:after="0"/>
            <w:jc w:val="right"/>
            <w:rPr>
              <w:color w:val="76923C"/>
              <w:sz w:val="24"/>
              <w:szCs w:val="24"/>
            </w:rPr>
          </w:pPr>
          <w:r>
            <w:rPr>
              <w:rFonts w:ascii="Book Antiqua" w:eastAsia="Book Antiqua" w:hAnsi="Book Antiqua" w:cs="Book Antiqua"/>
              <w:b/>
              <w:color w:val="76923C"/>
              <w:sz w:val="20"/>
              <w:szCs w:val="20"/>
            </w:rPr>
            <w:t>[</w:t>
          </w:r>
          <w:r w:rsidR="005D3F7B" w:rsidRPr="005D3F7B">
            <w:rPr>
              <w:rFonts w:ascii="Book Antiqua" w:eastAsia="Book Antiqua" w:hAnsi="Book Antiqua" w:cs="Book Antiqua"/>
              <w:b/>
              <w:color w:val="000000"/>
              <w:sz w:val="20"/>
              <w:szCs w:val="20"/>
            </w:rPr>
            <w:t xml:space="preserve">Digital Transformation </w:t>
          </w:r>
          <w:r w:rsidR="005D3F7B">
            <w:rPr>
              <w:rFonts w:ascii="Book Antiqua" w:eastAsia="Book Antiqua" w:hAnsi="Book Antiqua" w:cs="Book Antiqua"/>
              <w:b/>
              <w:color w:val="000000"/>
              <w:sz w:val="20"/>
              <w:szCs w:val="20"/>
            </w:rPr>
            <w:t>o</w:t>
          </w:r>
          <w:r w:rsidR="005D3F7B" w:rsidRPr="005D3F7B">
            <w:rPr>
              <w:rFonts w:ascii="Book Antiqua" w:eastAsia="Book Antiqua" w:hAnsi="Book Antiqua" w:cs="Book Antiqua"/>
              <w:b/>
              <w:color w:val="000000"/>
              <w:sz w:val="20"/>
              <w:szCs w:val="20"/>
            </w:rPr>
            <w:t xml:space="preserve">f Islamic Banking </w:t>
          </w:r>
          <w:r w:rsidR="005D3F7B">
            <w:rPr>
              <w:rFonts w:ascii="Book Antiqua" w:eastAsia="Book Antiqua" w:hAnsi="Book Antiqua" w:cs="Book Antiqua"/>
              <w:b/>
              <w:color w:val="000000"/>
              <w:sz w:val="20"/>
              <w:szCs w:val="20"/>
            </w:rPr>
            <w:t>i</w:t>
          </w:r>
          <w:r w:rsidR="005D3F7B" w:rsidRPr="005D3F7B">
            <w:rPr>
              <w:rFonts w:ascii="Book Antiqua" w:eastAsia="Book Antiqua" w:hAnsi="Book Antiqua" w:cs="Book Antiqua"/>
              <w:b/>
              <w:color w:val="000000"/>
              <w:sz w:val="20"/>
              <w:szCs w:val="20"/>
            </w:rPr>
            <w:t xml:space="preserve">n Indonesia: Analyzing Opportunities, Challenges, </w:t>
          </w:r>
          <w:r w:rsidR="005D3F7B">
            <w:rPr>
              <w:rFonts w:ascii="Book Antiqua" w:eastAsia="Book Antiqua" w:hAnsi="Book Antiqua" w:cs="Book Antiqua"/>
              <w:b/>
              <w:color w:val="000000"/>
              <w:sz w:val="20"/>
              <w:szCs w:val="20"/>
            </w:rPr>
            <w:t>a</w:t>
          </w:r>
          <w:r w:rsidR="005D3F7B" w:rsidRPr="005D3F7B">
            <w:rPr>
              <w:rFonts w:ascii="Book Antiqua" w:eastAsia="Book Antiqua" w:hAnsi="Book Antiqua" w:cs="Book Antiqua"/>
              <w:b/>
              <w:color w:val="000000"/>
              <w:sz w:val="20"/>
              <w:szCs w:val="20"/>
            </w:rPr>
            <w:t xml:space="preserve">nd Strategies </w:t>
          </w:r>
          <w:r w:rsidR="005D3F7B">
            <w:rPr>
              <w:rFonts w:ascii="Book Antiqua" w:eastAsia="Book Antiqua" w:hAnsi="Book Antiqua" w:cs="Book Antiqua"/>
              <w:b/>
              <w:color w:val="000000"/>
              <w:sz w:val="20"/>
              <w:szCs w:val="20"/>
            </w:rPr>
            <w:t>f</w:t>
          </w:r>
          <w:r w:rsidR="005D3F7B" w:rsidRPr="005D3F7B">
            <w:rPr>
              <w:rFonts w:ascii="Book Antiqua" w:eastAsia="Book Antiqua" w:hAnsi="Book Antiqua" w:cs="Book Antiqua"/>
              <w:b/>
              <w:color w:val="000000"/>
              <w:sz w:val="20"/>
              <w:szCs w:val="20"/>
            </w:rPr>
            <w:t xml:space="preserve">or Enhancing Competitiveness </w:t>
          </w:r>
          <w:r w:rsidR="005D3F7B">
            <w:rPr>
              <w:rFonts w:ascii="Book Antiqua" w:eastAsia="Book Antiqua" w:hAnsi="Book Antiqua" w:cs="Book Antiqua"/>
              <w:b/>
              <w:color w:val="000000"/>
              <w:sz w:val="20"/>
              <w:szCs w:val="20"/>
            </w:rPr>
            <w:t>i</w:t>
          </w:r>
          <w:r w:rsidR="005D3F7B" w:rsidRPr="005D3F7B">
            <w:rPr>
              <w:rFonts w:ascii="Book Antiqua" w:eastAsia="Book Antiqua" w:hAnsi="Book Antiqua" w:cs="Book Antiqua"/>
              <w:b/>
              <w:color w:val="000000"/>
              <w:sz w:val="20"/>
              <w:szCs w:val="20"/>
            </w:rPr>
            <w:t xml:space="preserve">n </w:t>
          </w:r>
          <w:r w:rsidR="005D3F7B">
            <w:rPr>
              <w:rFonts w:ascii="Book Antiqua" w:eastAsia="Book Antiqua" w:hAnsi="Book Antiqua" w:cs="Book Antiqua"/>
              <w:b/>
              <w:color w:val="000000"/>
              <w:sz w:val="20"/>
              <w:szCs w:val="20"/>
            </w:rPr>
            <w:t>t</w:t>
          </w:r>
          <w:r w:rsidR="005D3F7B" w:rsidRPr="005D3F7B">
            <w:rPr>
              <w:rFonts w:ascii="Book Antiqua" w:eastAsia="Book Antiqua" w:hAnsi="Book Antiqua" w:cs="Book Antiqua"/>
              <w:b/>
              <w:color w:val="000000"/>
              <w:sz w:val="20"/>
              <w:szCs w:val="20"/>
            </w:rPr>
            <w:t>he Digital Economy Era</w:t>
          </w:r>
          <w:r>
            <w:rPr>
              <w:b/>
              <w:color w:val="76923C"/>
              <w:sz w:val="24"/>
              <w:szCs w:val="24"/>
            </w:rPr>
            <w:t>]</w:t>
          </w:r>
        </w:p>
      </w:tc>
      <w:tc>
        <w:tcPr>
          <w:tcW w:w="2777" w:type="dxa"/>
          <w:tcBorders>
            <w:top w:val="nil"/>
            <w:left w:val="nil"/>
            <w:bottom w:val="single" w:sz="4" w:space="0" w:color="943734"/>
            <w:right w:val="nil"/>
          </w:tcBorders>
          <w:shd w:val="clear" w:color="auto" w:fill="00B050"/>
          <w:vAlign w:val="bottom"/>
        </w:tcPr>
        <w:p w14:paraId="33710FFD" w14:textId="73DC5B42" w:rsidR="00D801B3" w:rsidRDefault="00000000">
          <w:pPr>
            <w:pBdr>
              <w:top w:val="nil"/>
              <w:left w:val="nil"/>
              <w:bottom w:val="nil"/>
              <w:right w:val="nil"/>
              <w:between w:val="nil"/>
            </w:pBdr>
            <w:tabs>
              <w:tab w:val="center" w:pos="4513"/>
              <w:tab w:val="right" w:pos="9026"/>
            </w:tabs>
            <w:spacing w:after="0"/>
            <w:rPr>
              <w:rFonts w:ascii="Book Antiqua" w:eastAsia="Book Antiqua" w:hAnsi="Book Antiqua" w:cs="Book Antiqua"/>
              <w:b/>
              <w:color w:val="FFFFFF"/>
              <w:sz w:val="20"/>
              <w:szCs w:val="20"/>
            </w:rPr>
          </w:pPr>
          <w:r>
            <w:rPr>
              <w:rFonts w:ascii="Book Antiqua" w:eastAsia="Book Antiqua" w:hAnsi="Book Antiqua" w:cs="Book Antiqua"/>
              <w:b/>
              <w:color w:val="FFFFFF"/>
              <w:sz w:val="20"/>
              <w:szCs w:val="20"/>
            </w:rPr>
            <w:t xml:space="preserve">Vol. </w:t>
          </w:r>
          <w:r w:rsidR="005D3F7B">
            <w:rPr>
              <w:rFonts w:ascii="Book Antiqua" w:eastAsia="Book Antiqua" w:hAnsi="Book Antiqua" w:cs="Book Antiqua"/>
              <w:b/>
              <w:color w:val="FFFFFF"/>
              <w:sz w:val="20"/>
              <w:szCs w:val="20"/>
            </w:rPr>
            <w:t>4</w:t>
          </w:r>
          <w:r>
            <w:rPr>
              <w:rFonts w:ascii="Book Antiqua" w:eastAsia="Book Antiqua" w:hAnsi="Book Antiqua" w:cs="Book Antiqua"/>
              <w:b/>
              <w:color w:val="FFFFFF"/>
              <w:sz w:val="20"/>
              <w:szCs w:val="20"/>
            </w:rPr>
            <w:t xml:space="preserve">, No. </w:t>
          </w:r>
          <w:r w:rsidR="005D3F7B">
            <w:rPr>
              <w:rFonts w:ascii="Book Antiqua" w:eastAsia="Book Antiqua" w:hAnsi="Book Antiqua" w:cs="Book Antiqua"/>
              <w:b/>
              <w:color w:val="FFFFFF"/>
              <w:sz w:val="20"/>
              <w:szCs w:val="20"/>
            </w:rPr>
            <w:t>2</w:t>
          </w:r>
          <w:r>
            <w:rPr>
              <w:rFonts w:ascii="Book Antiqua" w:eastAsia="Book Antiqua" w:hAnsi="Book Antiqua" w:cs="Book Antiqua"/>
              <w:b/>
              <w:color w:val="FFFFFF"/>
              <w:sz w:val="20"/>
              <w:szCs w:val="20"/>
            </w:rPr>
            <w:t xml:space="preserve">, </w:t>
          </w:r>
          <w:r w:rsidR="005D3F7B">
            <w:rPr>
              <w:rFonts w:ascii="Book Antiqua" w:eastAsia="Book Antiqua" w:hAnsi="Book Antiqua" w:cs="Book Antiqua"/>
              <w:b/>
              <w:color w:val="FFFFFF"/>
              <w:sz w:val="20"/>
              <w:szCs w:val="20"/>
            </w:rPr>
            <w:t>June 2026</w:t>
          </w:r>
        </w:p>
      </w:tc>
    </w:tr>
  </w:tbl>
  <w:p w14:paraId="0FF7515C" w14:textId="77777777" w:rsidR="00D801B3" w:rsidRDefault="00D801B3">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72346C" w14:textId="77777777" w:rsidR="005D3F7B" w:rsidRDefault="005D3F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65226"/>
    <w:multiLevelType w:val="hybridMultilevel"/>
    <w:tmpl w:val="B6266F6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3CA0F57"/>
    <w:multiLevelType w:val="hybridMultilevel"/>
    <w:tmpl w:val="2B42FFDA"/>
    <w:lvl w:ilvl="0" w:tplc="38090015">
      <w:start w:val="1"/>
      <w:numFmt w:val="upperLetter"/>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EA41566"/>
    <w:multiLevelType w:val="hybridMultilevel"/>
    <w:tmpl w:val="68563C26"/>
    <w:lvl w:ilvl="0" w:tplc="E6945FEC">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3" w15:restartNumberingAfterBreak="0">
    <w:nsid w:val="62AF0ED0"/>
    <w:multiLevelType w:val="hybridMultilevel"/>
    <w:tmpl w:val="4E3EF17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62154113">
    <w:abstractNumId w:val="1"/>
  </w:num>
  <w:num w:numId="2" w16cid:durableId="981957859">
    <w:abstractNumId w:val="0"/>
  </w:num>
  <w:num w:numId="3" w16cid:durableId="1511143404">
    <w:abstractNumId w:val="3"/>
  </w:num>
  <w:num w:numId="4" w16cid:durableId="121893452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yu Kurnia Fatmawati">
    <w15:presenceInfo w15:providerId="Windows Live" w15:userId="a3ab6fd9d2b160bc"/>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1B3"/>
    <w:rsid w:val="00137B14"/>
    <w:rsid w:val="00210586"/>
    <w:rsid w:val="00283B7F"/>
    <w:rsid w:val="002A137C"/>
    <w:rsid w:val="005167EE"/>
    <w:rsid w:val="00526EFA"/>
    <w:rsid w:val="005A000F"/>
    <w:rsid w:val="005C0464"/>
    <w:rsid w:val="005D3F7B"/>
    <w:rsid w:val="006037C4"/>
    <w:rsid w:val="006A6D55"/>
    <w:rsid w:val="00720578"/>
    <w:rsid w:val="007D09C3"/>
    <w:rsid w:val="008A78C0"/>
    <w:rsid w:val="0093514D"/>
    <w:rsid w:val="009F724B"/>
    <w:rsid w:val="00A02A50"/>
    <w:rsid w:val="00A24B00"/>
    <w:rsid w:val="00A25ADF"/>
    <w:rsid w:val="00AB4294"/>
    <w:rsid w:val="00B759D4"/>
    <w:rsid w:val="00BA1128"/>
    <w:rsid w:val="00BC2AFB"/>
    <w:rsid w:val="00C14EF7"/>
    <w:rsid w:val="00C636DB"/>
    <w:rsid w:val="00C704A5"/>
    <w:rsid w:val="00CA003F"/>
    <w:rsid w:val="00CA3CDD"/>
    <w:rsid w:val="00CB72F7"/>
    <w:rsid w:val="00CF38DB"/>
    <w:rsid w:val="00D174E1"/>
    <w:rsid w:val="00D716DC"/>
    <w:rsid w:val="00D801B3"/>
    <w:rsid w:val="00F3525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99E6F"/>
  <w15:docId w15:val="{8BD9DFE5-8448-4824-90C3-56B91C16D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widowControl w:val="0"/>
      <w:spacing w:before="100" w:after="0" w:line="240" w:lineRule="auto"/>
      <w:ind w:left="112"/>
      <w:outlineLvl w:val="0"/>
    </w:pPr>
    <w:rPr>
      <w:rFonts w:ascii="Quattrocento Sans" w:eastAsia="Quattrocento Sans" w:hAnsi="Quattrocento Sans" w:cs="Quattrocento Sans"/>
      <w:b/>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widowControl w:val="0"/>
      <w:spacing w:before="100" w:after="0" w:line="240" w:lineRule="auto"/>
      <w:ind w:left="340" w:right="423"/>
      <w:jc w:val="center"/>
    </w:pPr>
    <w:rPr>
      <w:rFonts w:ascii="Tahoma" w:eastAsia="Tahoma" w:hAnsi="Tahoma" w:cs="Tahoma"/>
      <w:b/>
      <w:sz w:val="28"/>
      <w:szCs w:val="28"/>
    </w:rPr>
  </w:style>
  <w:style w:type="paragraph" w:styleId="Header">
    <w:name w:val="header"/>
    <w:basedOn w:val="Normal"/>
    <w:link w:val="HeaderChar"/>
    <w:uiPriority w:val="99"/>
    <w:unhideWhenUsed/>
    <w:rsid w:val="00D47E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ED7"/>
  </w:style>
  <w:style w:type="paragraph" w:styleId="Footer">
    <w:name w:val="footer"/>
    <w:basedOn w:val="Normal"/>
    <w:link w:val="FooterChar"/>
    <w:uiPriority w:val="99"/>
    <w:unhideWhenUsed/>
    <w:rsid w:val="00D47E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ED7"/>
  </w:style>
  <w:style w:type="table" w:styleId="TableGrid">
    <w:name w:val="Table Grid"/>
    <w:basedOn w:val="TableNormal"/>
    <w:uiPriority w:val="59"/>
    <w:rsid w:val="003B08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B0807"/>
    <w:rPr>
      <w:color w:val="0000FF" w:themeColor="hyperlink"/>
      <w:u w:val="single"/>
    </w:rPr>
  </w:style>
  <w:style w:type="table" w:styleId="LightShading">
    <w:name w:val="Light Shading"/>
    <w:basedOn w:val="TableNormal"/>
    <w:uiPriority w:val="60"/>
    <w:rsid w:val="003B080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ListParagraph">
    <w:name w:val="List Paragraph"/>
    <w:basedOn w:val="Normal"/>
    <w:link w:val="ListParagraphChar"/>
    <w:uiPriority w:val="34"/>
    <w:qFormat/>
    <w:rsid w:val="00197B7D"/>
    <w:pPr>
      <w:ind w:left="720"/>
      <w:contextualSpacing/>
    </w:pPr>
  </w:style>
  <w:style w:type="character" w:styleId="CommentReference">
    <w:name w:val="annotation reference"/>
    <w:basedOn w:val="DefaultParagraphFont"/>
    <w:uiPriority w:val="99"/>
    <w:semiHidden/>
    <w:unhideWhenUsed/>
    <w:rsid w:val="00596B66"/>
    <w:rPr>
      <w:sz w:val="16"/>
      <w:szCs w:val="16"/>
    </w:rPr>
  </w:style>
  <w:style w:type="paragraph" w:styleId="CommentText">
    <w:name w:val="annotation text"/>
    <w:basedOn w:val="Normal"/>
    <w:link w:val="CommentTextChar"/>
    <w:uiPriority w:val="99"/>
    <w:unhideWhenUsed/>
    <w:qFormat/>
    <w:rsid w:val="00F671BD"/>
    <w:pPr>
      <w:spacing w:after="0" w:line="240" w:lineRule="auto"/>
      <w:jc w:val="both"/>
    </w:pPr>
    <w:rPr>
      <w:sz w:val="20"/>
      <w:szCs w:val="20"/>
    </w:rPr>
  </w:style>
  <w:style w:type="character" w:customStyle="1" w:styleId="CommentTextChar">
    <w:name w:val="Comment Text Char"/>
    <w:basedOn w:val="DefaultParagraphFont"/>
    <w:link w:val="CommentText"/>
    <w:uiPriority w:val="99"/>
    <w:qFormat/>
    <w:rsid w:val="00F671BD"/>
    <w:rPr>
      <w:sz w:val="20"/>
      <w:szCs w:val="20"/>
    </w:rPr>
  </w:style>
  <w:style w:type="paragraph" w:styleId="CommentSubject">
    <w:name w:val="annotation subject"/>
    <w:basedOn w:val="CommentText"/>
    <w:next w:val="CommentText"/>
    <w:link w:val="CommentSubjectChar"/>
    <w:uiPriority w:val="99"/>
    <w:semiHidden/>
    <w:unhideWhenUsed/>
    <w:rsid w:val="00C2479E"/>
    <w:pPr>
      <w:spacing w:after="200"/>
      <w:jc w:val="left"/>
    </w:pPr>
    <w:rPr>
      <w:b/>
      <w:bCs/>
    </w:rPr>
  </w:style>
  <w:style w:type="character" w:customStyle="1" w:styleId="CommentSubjectChar">
    <w:name w:val="Comment Subject Char"/>
    <w:basedOn w:val="CommentTextChar"/>
    <w:link w:val="CommentSubject"/>
    <w:uiPriority w:val="99"/>
    <w:semiHidden/>
    <w:rsid w:val="00C2479E"/>
    <w:rPr>
      <w:b/>
      <w:bCs/>
      <w:sz w:val="20"/>
      <w:szCs w:val="20"/>
    </w:rPr>
  </w:style>
  <w:style w:type="paragraph" w:styleId="BalloonText">
    <w:name w:val="Balloon Text"/>
    <w:basedOn w:val="Normal"/>
    <w:link w:val="BalloonTextChar"/>
    <w:uiPriority w:val="99"/>
    <w:semiHidden/>
    <w:unhideWhenUsed/>
    <w:rsid w:val="00C247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79E"/>
    <w:rPr>
      <w:rFonts w:ascii="Tahoma" w:hAnsi="Tahoma" w:cs="Tahoma"/>
      <w:sz w:val="16"/>
      <w:szCs w:val="16"/>
    </w:rPr>
  </w:style>
  <w:style w:type="character" w:customStyle="1" w:styleId="ListParagraphChar">
    <w:name w:val="List Paragraph Char"/>
    <w:link w:val="ListParagraph"/>
    <w:uiPriority w:val="34"/>
    <w:rsid w:val="00B8191D"/>
  </w:style>
  <w:style w:type="paragraph" w:styleId="BodyText">
    <w:name w:val="Body Text"/>
    <w:basedOn w:val="Normal"/>
    <w:link w:val="BodyTextChar"/>
    <w:uiPriority w:val="1"/>
    <w:qFormat/>
    <w:rsid w:val="00B8191D"/>
    <w:pPr>
      <w:widowControl w:val="0"/>
      <w:autoSpaceDE w:val="0"/>
      <w:autoSpaceDN w:val="0"/>
      <w:spacing w:after="0" w:line="240" w:lineRule="auto"/>
      <w:ind w:left="152"/>
    </w:pPr>
    <w:rPr>
      <w:sz w:val="20"/>
      <w:szCs w:val="20"/>
      <w:lang w:val="en-US"/>
    </w:rPr>
  </w:style>
  <w:style w:type="character" w:customStyle="1" w:styleId="BodyTextChar">
    <w:name w:val="Body Text Char"/>
    <w:basedOn w:val="DefaultParagraphFont"/>
    <w:link w:val="BodyText"/>
    <w:uiPriority w:val="1"/>
    <w:rsid w:val="00B8191D"/>
    <w:rPr>
      <w:rFonts w:ascii="Calibri" w:eastAsia="Calibri" w:hAnsi="Calibri" w:cs="Calibri"/>
      <w:sz w:val="20"/>
      <w:szCs w:val="20"/>
      <w:lang w:val="en-US"/>
    </w:rPr>
  </w:style>
  <w:style w:type="character" w:customStyle="1" w:styleId="Heading1Char">
    <w:name w:val="Heading 1 Char"/>
    <w:basedOn w:val="DefaultParagraphFont"/>
    <w:link w:val="Heading1"/>
    <w:uiPriority w:val="1"/>
    <w:rsid w:val="009F779E"/>
    <w:rPr>
      <w:rFonts w:ascii="Segoe UI" w:eastAsia="Segoe UI" w:hAnsi="Segoe UI" w:cs="Segoe UI"/>
      <w:b/>
      <w:bCs/>
      <w:lang w:val="en-US"/>
    </w:rPr>
  </w:style>
  <w:style w:type="character" w:customStyle="1" w:styleId="TitleChar">
    <w:name w:val="Title Char"/>
    <w:basedOn w:val="DefaultParagraphFont"/>
    <w:link w:val="Title"/>
    <w:uiPriority w:val="1"/>
    <w:rsid w:val="009F779E"/>
    <w:rPr>
      <w:rFonts w:ascii="Tahoma" w:eastAsia="Tahoma" w:hAnsi="Tahoma" w:cs="Tahoma"/>
      <w:b/>
      <w:bCs/>
      <w:sz w:val="28"/>
      <w:szCs w:val="28"/>
      <w:lang w:val="en-US"/>
    </w:rPr>
  </w:style>
  <w:style w:type="paragraph" w:customStyle="1" w:styleId="TableParagraph">
    <w:name w:val="Table Paragraph"/>
    <w:basedOn w:val="Normal"/>
    <w:uiPriority w:val="1"/>
    <w:qFormat/>
    <w:rsid w:val="009F779E"/>
    <w:pPr>
      <w:widowControl w:val="0"/>
      <w:autoSpaceDE w:val="0"/>
      <w:autoSpaceDN w:val="0"/>
      <w:spacing w:after="0" w:line="226" w:lineRule="exact"/>
      <w:ind w:left="108"/>
    </w:pPr>
    <w:rPr>
      <w:rFonts w:ascii="Times New Roman" w:eastAsia="Times New Roman" w:hAnsi="Times New Roman" w:cs="Times New Roman"/>
      <w:lang w:val="en-US"/>
    </w:rPr>
  </w:style>
  <w:style w:type="character" w:styleId="FollowedHyperlink">
    <w:name w:val="FollowedHyperlink"/>
    <w:basedOn w:val="DefaultParagraphFont"/>
    <w:uiPriority w:val="99"/>
    <w:semiHidden/>
    <w:unhideWhenUsed/>
    <w:rsid w:val="00DA1178"/>
    <w:rPr>
      <w:color w:val="800080" w:themeColor="followedHyperlink"/>
      <w:u w:val="single"/>
    </w:rPr>
  </w:style>
  <w:style w:type="character" w:customStyle="1" w:styleId="UnresolvedMention1">
    <w:name w:val="Unresolved Mention1"/>
    <w:basedOn w:val="DefaultParagraphFont"/>
    <w:uiPriority w:val="99"/>
    <w:semiHidden/>
    <w:unhideWhenUsed/>
    <w:rsid w:val="00DA1178"/>
    <w:rPr>
      <w:color w:val="605E5C"/>
      <w:shd w:val="clear" w:color="auto" w:fill="E1DFDD"/>
    </w:rPr>
  </w:style>
  <w:style w:type="table" w:styleId="LightShading-Accent3">
    <w:name w:val="Light Shading Accent 3"/>
    <w:basedOn w:val="TableNormal"/>
    <w:uiPriority w:val="60"/>
    <w:rsid w:val="00BA44C5"/>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1">
    <w:name w:val="Light Shading Accent 1"/>
    <w:basedOn w:val="TableNormal"/>
    <w:uiPriority w:val="60"/>
    <w:rsid w:val="00BA44C5"/>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4">
    <w:name w:val="Light Shading Accent 4"/>
    <w:basedOn w:val="TableNormal"/>
    <w:uiPriority w:val="60"/>
    <w:rsid w:val="00BA44C5"/>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2">
    <w:name w:val="Light Shading Accent 2"/>
    <w:basedOn w:val="TableNormal"/>
    <w:uiPriority w:val="60"/>
    <w:rsid w:val="00BA44C5"/>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MediumList2-Accent3">
    <w:name w:val="Medium List 2 Accent 3"/>
    <w:basedOn w:val="TableNormal"/>
    <w:uiPriority w:val="66"/>
    <w:rsid w:val="00BA44C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72" w:type="dxa"/>
        <w:left w:w="115" w:type="dxa"/>
        <w:bottom w:w="72" w:type="dxa"/>
        <w:right w:w="115" w:type="dxa"/>
      </w:tblCellMar>
    </w:tblPr>
  </w:style>
  <w:style w:type="table" w:customStyle="1" w:styleId="a2">
    <w:basedOn w:val="TableNormal"/>
    <w:tblPr>
      <w:tblStyleRowBandSize w:val="1"/>
      <w:tblStyleColBandSize w:val="1"/>
      <w:tblCellMar>
        <w:top w:w="72" w:type="dxa"/>
        <w:left w:w="115" w:type="dxa"/>
        <w:bottom w:w="72" w:type="dxa"/>
        <w:right w:w="115" w:type="dxa"/>
      </w:tblCellMar>
    </w:tblPr>
  </w:style>
  <w:style w:type="table" w:customStyle="1" w:styleId="a3">
    <w:basedOn w:val="TableNormal"/>
    <w:tblPr>
      <w:tblStyleRowBandSize w:val="1"/>
      <w:tblStyleColBandSize w:val="1"/>
      <w:tblCellMar>
        <w:top w:w="72" w:type="dxa"/>
        <w:left w:w="115" w:type="dxa"/>
        <w:bottom w:w="72" w:type="dxa"/>
        <w:right w:w="115" w:type="dxa"/>
      </w:tblCellMar>
    </w:tblPr>
  </w:style>
  <w:style w:type="table" w:customStyle="1" w:styleId="a4">
    <w:basedOn w:val="TableNormal"/>
    <w:tblPr>
      <w:tblStyleRowBandSize w:val="1"/>
      <w:tblStyleColBandSize w:val="1"/>
      <w:tblCellMar>
        <w:top w:w="72" w:type="dxa"/>
        <w:left w:w="115" w:type="dxa"/>
        <w:bottom w:w="72" w:type="dxa"/>
        <w:right w:w="115" w:type="dxa"/>
      </w:tblCellMar>
    </w:tblPr>
  </w:style>
  <w:style w:type="table" w:customStyle="1" w:styleId="a5">
    <w:basedOn w:val="TableNormal"/>
    <w:tblPr>
      <w:tblStyleRowBandSize w:val="1"/>
      <w:tblStyleColBandSize w:val="1"/>
      <w:tblCellMar>
        <w:top w:w="72" w:type="dxa"/>
        <w:left w:w="115" w:type="dxa"/>
        <w:bottom w:w="72" w:type="dxa"/>
        <w:right w:w="115" w:type="dxa"/>
      </w:tblCellMar>
    </w:tblPr>
  </w:style>
  <w:style w:type="character" w:styleId="Strong">
    <w:name w:val="Strong"/>
    <w:basedOn w:val="DefaultParagraphFont"/>
    <w:uiPriority w:val="22"/>
    <w:qFormat/>
    <w:rsid w:val="00283B7F"/>
    <w:rPr>
      <w:b/>
      <w:bCs/>
    </w:rPr>
  </w:style>
  <w:style w:type="character" w:styleId="Emphasis">
    <w:name w:val="Emphasis"/>
    <w:basedOn w:val="DefaultParagraphFont"/>
    <w:uiPriority w:val="20"/>
    <w:qFormat/>
    <w:rsid w:val="00283B7F"/>
    <w:rPr>
      <w:i/>
      <w:iCs/>
    </w:rPr>
  </w:style>
  <w:style w:type="character" w:styleId="UnresolvedMention">
    <w:name w:val="Unresolved Mention"/>
    <w:basedOn w:val="DefaultParagraphFont"/>
    <w:uiPriority w:val="99"/>
    <w:semiHidden/>
    <w:unhideWhenUsed/>
    <w:rsid w:val="00CA003F"/>
    <w:rPr>
      <w:color w:val="605E5C"/>
      <w:shd w:val="clear" w:color="auto" w:fill="E1DFDD"/>
    </w:rPr>
  </w:style>
  <w:style w:type="paragraph" w:styleId="NormalWeb">
    <w:name w:val="Normal (Web)"/>
    <w:basedOn w:val="Normal"/>
    <w:uiPriority w:val="99"/>
    <w:semiHidden/>
    <w:unhideWhenUsed/>
    <w:rsid w:val="00CA003F"/>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C14E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4EF7"/>
    <w:rPr>
      <w:sz w:val="20"/>
      <w:szCs w:val="20"/>
    </w:rPr>
  </w:style>
  <w:style w:type="character" w:styleId="FootnoteReference">
    <w:name w:val="footnote reference"/>
    <w:basedOn w:val="DefaultParagraphFont"/>
    <w:uiPriority w:val="99"/>
    <w:semiHidden/>
    <w:unhideWhenUsed/>
    <w:rsid w:val="00C14E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240404004.mhs@uinmataram.ac.id" TargetMode="External"/><Relationship Id="rId24" Type="http://schemas.openxmlformats.org/officeDocument/2006/relationships/theme" Target="theme/theme1.xml"/><Relationship Id="rId5" Type="http://schemas.openxmlformats.org/officeDocument/2006/relationships/settings" Target="settings.xml"/><Relationship Id="rId15" Type="http://schemas.microsoft.com/office/2018/08/relationships/commentsExtensible" Target="commentsExtensible.xml"/><Relationship Id="rId23" Type="http://schemas.microsoft.com/office/2011/relationships/people" Target="people.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microsoft.com/office/2016/09/relationships/commentsIds" Target="commentsIds.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1" Type="http://schemas.openxmlformats.org/officeDocument/2006/relationships/hyperlink" Target="https://samsonjourn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JIKYrxlFj9/WLP6j+7X6AAg7yw==">CgMxLjAyDmguajFubWU4YWd4MWswMgloLjFmb2I5dGU4AHIhMTlteFVkYS1FUldjcUtpTWxiM0N3RV9tM2FEZC1fVzRs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ED6BF3E-F126-4273-ADC9-036FBEF4EA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6136</Words>
  <Characters>34981</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Uswatun Khasanah</cp:lastModifiedBy>
  <cp:revision>2</cp:revision>
  <dcterms:created xsi:type="dcterms:W3CDTF">2026-07-23T07:05:00Z</dcterms:created>
  <dcterms:modified xsi:type="dcterms:W3CDTF">2026-07-23T07:05:00Z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https://csl.mendeley.com/styles/475823531/apa</vt:lpwstr>
  </property>
  <property fmtid="{D5CDD505-2E9C-101B-9397-08002B2CF9AE}" pid="7" name="Mendeley Recent Style Name 2_1">
    <vt:lpwstr>American Psychological Association 6th edition - Mincho Slavov</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87c6a2c0-867f-3e08-aa59-7f74b7183ce1</vt:lpwstr>
  </property>
  <property fmtid="{D5CDD505-2E9C-101B-9397-08002B2CF9AE}" pid="24" name="Mendeley Citation Style_1">
    <vt:lpwstr>http://www.zotero.org/styles/apa</vt:lpwstr>
  </property>
</Properties>
</file>