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372DA0" w14:textId="25FACF3B" w:rsidR="005D690E" w:rsidRDefault="00000000">
      <w:pPr>
        <w:pBdr>
          <w:bottom w:val="dashed" w:sz="4" w:space="15" w:color="000000"/>
        </w:pBdr>
        <w:tabs>
          <w:tab w:val="center" w:pos="4680"/>
          <w:tab w:val="right" w:pos="9360"/>
          <w:tab w:val="right" w:pos="7938"/>
        </w:tabs>
        <w:spacing w:after="0" w:line="240" w:lineRule="auto"/>
        <w:ind w:left="425" w:right="-181"/>
        <w:jc w:val="both"/>
        <w:rPr>
          <w:rFonts w:ascii="Book Antiqua" w:eastAsia="Book Antiqua" w:hAnsi="Book Antiqua" w:cs="Book Antiqua"/>
          <w:sz w:val="24"/>
          <w:szCs w:val="24"/>
        </w:rPr>
      </w:pPr>
      <w:r>
        <w:rPr>
          <w:rFonts w:ascii="Book Antiqua" w:eastAsia="Book Antiqua" w:hAnsi="Book Antiqua" w:cs="Book Antiqua"/>
          <w:sz w:val="24"/>
          <w:szCs w:val="24"/>
        </w:rPr>
        <w:t xml:space="preserve">Volume </w:t>
      </w:r>
      <w:r w:rsidR="0077114A">
        <w:rPr>
          <w:rFonts w:ascii="Book Antiqua" w:eastAsia="Book Antiqua" w:hAnsi="Book Antiqua" w:cs="Book Antiqua"/>
          <w:sz w:val="24"/>
          <w:szCs w:val="24"/>
        </w:rPr>
        <w:t>4</w:t>
      </w:r>
      <w:r>
        <w:rPr>
          <w:rFonts w:ascii="Book Antiqua" w:eastAsia="Book Antiqua" w:hAnsi="Book Antiqua" w:cs="Book Antiqua"/>
          <w:sz w:val="24"/>
          <w:szCs w:val="24"/>
        </w:rPr>
        <w:t xml:space="preserve">, Number </w:t>
      </w:r>
      <w:r w:rsidR="0077114A">
        <w:rPr>
          <w:rFonts w:ascii="Book Antiqua" w:eastAsia="Book Antiqua" w:hAnsi="Book Antiqua" w:cs="Book Antiqua"/>
          <w:sz w:val="24"/>
          <w:szCs w:val="24"/>
        </w:rPr>
        <w:t>2</w:t>
      </w:r>
      <w:r>
        <w:rPr>
          <w:rFonts w:ascii="Book Antiqua" w:eastAsia="Book Antiqua" w:hAnsi="Book Antiqua" w:cs="Book Antiqua"/>
          <w:sz w:val="24"/>
          <w:szCs w:val="24"/>
        </w:rPr>
        <w:t xml:space="preserve">, </w:t>
      </w:r>
      <w:r w:rsidR="0077114A">
        <w:rPr>
          <w:rFonts w:ascii="Book Antiqua" w:eastAsia="Book Antiqua" w:hAnsi="Book Antiqua" w:cs="Book Antiqua"/>
          <w:sz w:val="24"/>
          <w:szCs w:val="24"/>
        </w:rPr>
        <w:t>June 2026</w:t>
      </w:r>
      <w:r>
        <w:rPr>
          <w:rFonts w:ascii="Book Antiqua" w:eastAsia="Book Antiqua" w:hAnsi="Book Antiqua" w:cs="Book Antiqua"/>
          <w:sz w:val="24"/>
          <w:szCs w:val="24"/>
        </w:rPr>
        <w:tab/>
      </w:r>
      <w:r>
        <w:rPr>
          <w:rFonts w:ascii="Book Antiqua" w:eastAsia="Book Antiqua" w:hAnsi="Book Antiqua" w:cs="Book Antiqua"/>
          <w:sz w:val="24"/>
          <w:szCs w:val="24"/>
        </w:rPr>
        <w:tab/>
        <w:t xml:space="preserve">                                     </w:t>
      </w:r>
      <w:r>
        <w:rPr>
          <w:noProof/>
        </w:rPr>
        <w:drawing>
          <wp:anchor distT="0" distB="0" distL="0" distR="0" simplePos="0" relativeHeight="251658240" behindDoc="1" locked="0" layoutInCell="1" hidden="0" allowOverlap="1" wp14:anchorId="21FBF956" wp14:editId="5A991F0D">
            <wp:simplePos x="0" y="0"/>
            <wp:positionH relativeFrom="column">
              <wp:posOffset>3713911</wp:posOffset>
            </wp:positionH>
            <wp:positionV relativeFrom="paragraph">
              <wp:posOffset>-367047</wp:posOffset>
            </wp:positionV>
            <wp:extent cx="1880007" cy="809396"/>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l="11367" t="33026" r="10138" b="33179"/>
                    <a:stretch>
                      <a:fillRect/>
                    </a:stretch>
                  </pic:blipFill>
                  <pic:spPr>
                    <a:xfrm>
                      <a:off x="0" y="0"/>
                      <a:ext cx="1880007" cy="809396"/>
                    </a:xfrm>
                    <a:prstGeom prst="rect">
                      <a:avLst/>
                    </a:prstGeom>
                    <a:ln/>
                  </pic:spPr>
                </pic:pic>
              </a:graphicData>
            </a:graphic>
          </wp:anchor>
        </w:drawing>
      </w:r>
    </w:p>
    <w:p w14:paraId="7CDE294A" w14:textId="4500905F" w:rsidR="005D690E" w:rsidRDefault="00000000">
      <w:pPr>
        <w:pBdr>
          <w:bottom w:val="dashed" w:sz="4" w:space="15" w:color="000000"/>
        </w:pBdr>
        <w:tabs>
          <w:tab w:val="center" w:pos="4680"/>
          <w:tab w:val="right" w:pos="9360"/>
          <w:tab w:val="right" w:pos="7938"/>
        </w:tabs>
        <w:spacing w:after="0" w:line="240" w:lineRule="auto"/>
        <w:ind w:right="-181"/>
        <w:jc w:val="both"/>
        <w:rPr>
          <w:rFonts w:ascii="Book Antiqua" w:eastAsia="Book Antiqua" w:hAnsi="Book Antiqua" w:cs="Book Antiqua"/>
          <w:sz w:val="24"/>
          <w:szCs w:val="24"/>
          <w:vertAlign w:val="subscript"/>
        </w:rPr>
      </w:pPr>
      <w:r>
        <w:rPr>
          <w:rFonts w:ascii="Book Antiqua" w:eastAsia="Book Antiqua" w:hAnsi="Book Antiqua" w:cs="Book Antiqua"/>
          <w:sz w:val="24"/>
          <w:szCs w:val="24"/>
        </w:rPr>
        <w:t xml:space="preserve">e- ISSN: </w:t>
      </w:r>
      <w:r w:rsidR="0077114A">
        <w:rPr>
          <w:rFonts w:ascii="Book Antiqua" w:eastAsia="Book Antiqua" w:hAnsi="Book Antiqua" w:cs="Book Antiqua"/>
          <w:sz w:val="24"/>
          <w:szCs w:val="24"/>
        </w:rPr>
        <w:t>3046</w:t>
      </w:r>
      <w:r>
        <w:rPr>
          <w:rFonts w:ascii="Book Antiqua" w:eastAsia="Book Antiqua" w:hAnsi="Book Antiqua" w:cs="Book Antiqua"/>
          <w:sz w:val="24"/>
          <w:szCs w:val="24"/>
        </w:rPr>
        <w:t>-</w:t>
      </w:r>
      <w:r w:rsidR="0077114A">
        <w:rPr>
          <w:rFonts w:ascii="Book Antiqua" w:eastAsia="Book Antiqua" w:hAnsi="Book Antiqua" w:cs="Book Antiqua"/>
          <w:sz w:val="24"/>
          <w:szCs w:val="24"/>
        </w:rPr>
        <w:t>8221</w:t>
      </w:r>
    </w:p>
    <w:p w14:paraId="71E2F7BD" w14:textId="77777777" w:rsidR="005D690E" w:rsidRDefault="00000000">
      <w:pPr>
        <w:tabs>
          <w:tab w:val="left" w:pos="4919"/>
        </w:tabs>
        <w:spacing w:before="75" w:line="240" w:lineRule="auto"/>
        <w:rPr>
          <w:rFonts w:ascii="Book Antiqua" w:eastAsia="Book Antiqua" w:hAnsi="Book Antiqua" w:cs="Book Antiqua"/>
          <w:sz w:val="24"/>
          <w:szCs w:val="24"/>
          <w:vertAlign w:val="subscript"/>
        </w:rPr>
      </w:pPr>
      <w:r>
        <w:rPr>
          <w:noProof/>
        </w:rPr>
        <mc:AlternateContent>
          <mc:Choice Requires="wpg">
            <w:drawing>
              <wp:anchor distT="0" distB="0" distL="114300" distR="114300" simplePos="0" relativeHeight="251659264" behindDoc="0" locked="0" layoutInCell="1" hidden="0" allowOverlap="1" wp14:anchorId="3F491927" wp14:editId="7256C86E">
                <wp:simplePos x="0" y="0"/>
                <wp:positionH relativeFrom="column">
                  <wp:posOffset>-9359</wp:posOffset>
                </wp:positionH>
                <wp:positionV relativeFrom="paragraph">
                  <wp:posOffset>38100</wp:posOffset>
                </wp:positionV>
                <wp:extent cx="25400" cy="25400"/>
                <wp:effectExtent l="0" t="0" r="0" b="0"/>
                <wp:wrapNone/>
                <wp:docPr id="1" name="Straight Arrow Connector 1"/>
                <wp:cNvGraphicFramePr/>
                <a:graphic xmlns:a="http://schemas.openxmlformats.org/drawingml/2006/main">
                  <a:graphicData uri="http://schemas.microsoft.com/office/word/2010/wordprocessingShape">
                    <wps:wsp>
                      <wps:cNvCnPr/>
                      <wps:spPr>
                        <a:xfrm>
                          <a:off x="2483738" y="3780000"/>
                          <a:ext cx="5724525" cy="0"/>
                        </a:xfrm>
                        <a:prstGeom prst="straightConnector1">
                          <a:avLst/>
                        </a:prstGeom>
                        <a:noFill/>
                        <a:ln w="25400" cap="flat" cmpd="sng">
                          <a:solidFill>
                            <a:srgbClr val="00B05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-9359</wp:posOffset>
                </wp:positionH>
                <wp:positionV relativeFrom="paragraph">
                  <wp:posOffset>38100</wp:posOffset>
                </wp:positionV>
                <wp:extent cx="25400" cy="25400"/>
                <wp:effectExtent b="0" l="0" r="0" t="0"/>
                <wp:wrapNone/>
                <wp:docPr id="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5400" cy="25400"/>
                        </a:xfrm>
                        <a:prstGeom prst="rect"/>
                        <a:ln/>
                      </pic:spPr>
                    </pic:pic>
                  </a:graphicData>
                </a:graphic>
              </wp:anchor>
            </w:drawing>
          </mc:Fallback>
        </mc:AlternateContent>
      </w:r>
    </w:p>
    <w:p w14:paraId="2B46F13E" w14:textId="60E9E4E6" w:rsidR="005D690E" w:rsidRDefault="007E7CD3">
      <w:pPr>
        <w:pStyle w:val="Title"/>
        <w:ind w:left="851"/>
      </w:pPr>
      <w:r>
        <w:rPr>
          <w:rFonts w:ascii="Book Antiqua" w:eastAsia="Book Antiqua" w:hAnsi="Book Antiqua" w:cs="Book Antiqua"/>
        </w:rPr>
        <w:t>RUPIAH DEPRECIATION AND SHARIA EQUITY PERFORMANCE: EVIDENCE FROM THE INDONESIAN SHARIA STOCK INDEX DURING ECONOMIC TURBULENCE</w:t>
      </w:r>
    </w:p>
    <w:p w14:paraId="5BA19A6F" w14:textId="01AB7439" w:rsidR="005D690E" w:rsidRDefault="00000000">
      <w:pPr>
        <w:pStyle w:val="Heading1"/>
        <w:spacing w:before="80"/>
        <w:ind w:left="851" w:right="95"/>
        <w:jc w:val="center"/>
        <w:rPr>
          <w:rFonts w:ascii="Book Antiqua" w:eastAsia="Book Antiqua" w:hAnsi="Book Antiqua" w:cs="Book Antiqua"/>
          <w:vertAlign w:val="superscript"/>
        </w:rPr>
      </w:pPr>
      <w:r>
        <w:rPr>
          <w:rFonts w:ascii="Book Antiqua" w:eastAsia="Book Antiqua" w:hAnsi="Book Antiqua" w:cs="Book Antiqua"/>
        </w:rPr>
        <w:t>Puan Siti Fadillah</w:t>
      </w:r>
      <w:r>
        <w:rPr>
          <w:rFonts w:ascii="Book Antiqua" w:eastAsia="Book Antiqua" w:hAnsi="Book Antiqua" w:cs="Book Antiqua"/>
          <w:vertAlign w:val="superscript"/>
        </w:rPr>
        <w:t>1</w:t>
      </w:r>
      <w:r>
        <w:rPr>
          <w:rFonts w:ascii="Book Antiqua" w:eastAsia="Book Antiqua" w:hAnsi="Book Antiqua" w:cs="Book Antiqua"/>
        </w:rPr>
        <w:t>, Rifki Hilman Fauzi</w:t>
      </w:r>
      <w:r>
        <w:rPr>
          <w:rFonts w:ascii="Book Antiqua" w:eastAsia="Book Antiqua" w:hAnsi="Book Antiqua" w:cs="Book Antiqua"/>
          <w:vertAlign w:val="superscript"/>
        </w:rPr>
        <w:t>2</w:t>
      </w:r>
      <w:r>
        <w:rPr>
          <w:rFonts w:ascii="Book Antiqua" w:eastAsia="Book Antiqua" w:hAnsi="Book Antiqua" w:cs="Book Antiqua"/>
        </w:rPr>
        <w:t xml:space="preserve">, Atikah Fadhilah³, Fariz Ahmad Zain⁴, Muhammad </w:t>
      </w:r>
      <w:proofErr w:type="spellStart"/>
      <w:r>
        <w:rPr>
          <w:rFonts w:ascii="Book Antiqua" w:eastAsia="Book Antiqua" w:hAnsi="Book Antiqua" w:cs="Book Antiqua"/>
        </w:rPr>
        <w:t>Almatin</w:t>
      </w:r>
      <w:proofErr w:type="spellEnd"/>
      <w:r>
        <w:rPr>
          <w:rFonts w:ascii="Book Antiqua" w:eastAsia="Book Antiqua" w:hAnsi="Book Antiqua" w:cs="Book Antiqua"/>
        </w:rPr>
        <w:t xml:space="preserve"> Ibnu Sina⁵</w:t>
      </w:r>
    </w:p>
    <w:p w14:paraId="61AE7607" w14:textId="3426AC3E" w:rsidR="005D690E" w:rsidRPr="00AF5361" w:rsidRDefault="00AF5361">
      <w:pPr>
        <w:pStyle w:val="Heading1"/>
        <w:spacing w:before="80"/>
        <w:ind w:left="851" w:right="-46"/>
        <w:jc w:val="center"/>
        <w:rPr>
          <w:rFonts w:ascii="Book Antiqua" w:eastAsia="Book Antiqua" w:hAnsi="Book Antiqua" w:cs="Book Antiqua"/>
        </w:rPr>
      </w:pPr>
      <w:bookmarkStart w:id="0" w:name="_qsite34o5aso" w:colFirst="0" w:colLast="0"/>
      <w:bookmarkEnd w:id="0"/>
      <w:r w:rsidRPr="00AF5361">
        <w:rPr>
          <w:rFonts w:ascii="Book Antiqua" w:eastAsia="Book Antiqua" w:hAnsi="Book Antiqua" w:cs="Book Antiqua"/>
          <w:b w:val="0"/>
          <w:bCs w:val="0"/>
          <w:sz w:val="20"/>
          <w:szCs w:val="20"/>
        </w:rPr>
        <w:t>Department of Islamic Economics, Faculty of Economics and Management, IPB University, Bogor, Indonesia</w:t>
      </w:r>
      <w:r w:rsidRPr="00AF5361">
        <w:rPr>
          <w:rFonts w:ascii="Book Antiqua" w:eastAsia="Book Antiqua" w:hAnsi="Book Antiqua" w:cs="Book Antiqua"/>
          <w:b w:val="0"/>
          <w:bCs w:val="0"/>
          <w:sz w:val="20"/>
          <w:szCs w:val="20"/>
        </w:rPr>
        <w:br/>
      </w:r>
      <w:hyperlink r:id="rId9">
        <w:r w:rsidRPr="00AF5361">
          <w:rPr>
            <w:rFonts w:ascii="Book Antiqua" w:eastAsia="Book Antiqua" w:hAnsi="Book Antiqua" w:cs="Book Antiqua"/>
            <w:b w:val="0"/>
            <w:bCs w:val="0"/>
            <w:sz w:val="20"/>
            <w:szCs w:val="20"/>
            <w:vertAlign w:val="superscript"/>
          </w:rPr>
          <w:t>1</w:t>
        </w:r>
      </w:hyperlink>
      <w:hyperlink r:id="rId10">
        <w:r w:rsidRPr="00AF5361">
          <w:rPr>
            <w:rFonts w:ascii="Book Antiqua" w:eastAsia="Book Antiqua" w:hAnsi="Book Antiqua" w:cs="Book Antiqua"/>
            <w:b w:val="0"/>
            <w:bCs w:val="0"/>
            <w:sz w:val="20"/>
            <w:szCs w:val="20"/>
          </w:rPr>
          <w:t>fadillahpuan@apps.ipb.ac.</w:t>
        </w:r>
      </w:hyperlink>
      <w:r w:rsidRPr="00AF5361">
        <w:rPr>
          <w:rFonts w:ascii="Book Antiqua" w:eastAsia="Book Antiqua" w:hAnsi="Book Antiqua" w:cs="Book Antiqua"/>
          <w:b w:val="0"/>
          <w:bCs w:val="0"/>
          <w:sz w:val="20"/>
          <w:szCs w:val="20"/>
        </w:rPr>
        <w:t xml:space="preserve">id,  </w:t>
      </w:r>
      <w:hyperlink r:id="rId11">
        <w:r w:rsidRPr="00AF5361">
          <w:rPr>
            <w:rFonts w:ascii="Book Antiqua" w:eastAsia="Book Antiqua" w:hAnsi="Book Antiqua" w:cs="Book Antiqua"/>
            <w:b w:val="0"/>
            <w:bCs w:val="0"/>
            <w:sz w:val="20"/>
            <w:szCs w:val="20"/>
            <w:vertAlign w:val="superscript"/>
          </w:rPr>
          <w:t>2</w:t>
        </w:r>
      </w:hyperlink>
      <w:hyperlink r:id="rId12">
        <w:r w:rsidRPr="00AF5361">
          <w:rPr>
            <w:rFonts w:ascii="Book Antiqua" w:eastAsia="Book Antiqua" w:hAnsi="Book Antiqua" w:cs="Book Antiqua"/>
            <w:b w:val="0"/>
            <w:bCs w:val="0"/>
            <w:sz w:val="20"/>
            <w:szCs w:val="20"/>
          </w:rPr>
          <w:t>studyhilman@apps.ipb.ac.id</w:t>
        </w:r>
      </w:hyperlink>
      <w:r w:rsidRPr="00AF5361">
        <w:rPr>
          <w:rFonts w:ascii="Book Antiqua" w:eastAsia="Book Antiqua" w:hAnsi="Book Antiqua" w:cs="Book Antiqua"/>
          <w:b w:val="0"/>
          <w:bCs w:val="0"/>
          <w:sz w:val="20"/>
          <w:szCs w:val="20"/>
        </w:rPr>
        <w:t>, ³f</w:t>
      </w:r>
      <w:hyperlink r:id="rId13">
        <w:r w:rsidRPr="00AF5361">
          <w:rPr>
            <w:rFonts w:ascii="Book Antiqua" w:eastAsia="Book Antiqua" w:hAnsi="Book Antiqua" w:cs="Book Antiqua"/>
            <w:b w:val="0"/>
            <w:bCs w:val="0"/>
            <w:sz w:val="20"/>
            <w:szCs w:val="20"/>
          </w:rPr>
          <w:t>a</w:t>
        </w:r>
      </w:hyperlink>
      <w:r w:rsidRPr="00AF5361">
        <w:rPr>
          <w:rFonts w:ascii="Book Antiqua" w:eastAsia="Book Antiqua" w:hAnsi="Book Antiqua" w:cs="Book Antiqua"/>
          <w:b w:val="0"/>
          <w:bCs w:val="0"/>
          <w:sz w:val="20"/>
          <w:szCs w:val="20"/>
        </w:rPr>
        <w:t>dhilahatikah@apps.ipb.ac</w:t>
      </w:r>
      <w:hyperlink r:id="rId14">
        <w:r w:rsidRPr="00AF5361">
          <w:rPr>
            <w:rFonts w:ascii="Book Antiqua" w:eastAsia="Book Antiqua" w:hAnsi="Book Antiqua" w:cs="Book Antiqua"/>
            <w:b w:val="0"/>
            <w:bCs w:val="0"/>
            <w:sz w:val="20"/>
            <w:szCs w:val="20"/>
          </w:rPr>
          <w:t>.</w:t>
        </w:r>
      </w:hyperlink>
      <w:r w:rsidRPr="00AF5361">
        <w:rPr>
          <w:rFonts w:ascii="Book Antiqua" w:eastAsia="Book Antiqua" w:hAnsi="Book Antiqua" w:cs="Book Antiqua"/>
          <w:b w:val="0"/>
          <w:bCs w:val="0"/>
          <w:sz w:val="20"/>
          <w:szCs w:val="20"/>
        </w:rPr>
        <w:t>id ⁴</w:t>
      </w:r>
      <w:hyperlink r:id="rId15">
        <w:r w:rsidRPr="00AF5361">
          <w:rPr>
            <w:rFonts w:ascii="Book Antiqua" w:eastAsia="Book Antiqua" w:hAnsi="Book Antiqua" w:cs="Book Antiqua"/>
            <w:b w:val="0"/>
            <w:bCs w:val="0"/>
            <w:sz w:val="20"/>
            <w:szCs w:val="20"/>
          </w:rPr>
          <w:t>farizahmadzain@apps.ipb.ac.id</w:t>
        </w:r>
      </w:hyperlink>
      <w:r w:rsidRPr="00AF5361">
        <w:rPr>
          <w:rFonts w:ascii="Book Antiqua" w:eastAsia="Book Antiqua" w:hAnsi="Book Antiqua" w:cs="Book Antiqua"/>
          <w:b w:val="0"/>
          <w:bCs w:val="0"/>
          <w:sz w:val="20"/>
          <w:szCs w:val="20"/>
        </w:rPr>
        <w:t>, ⁵almatinibnu@apps.ipb.ac.id</w:t>
      </w:r>
    </w:p>
    <w:p w14:paraId="7CF2E559" w14:textId="77777777" w:rsidR="005D690E" w:rsidRPr="00AF5361" w:rsidRDefault="005D690E">
      <w:pPr>
        <w:rPr>
          <w:rFonts w:ascii="Book Antiqua" w:eastAsia="Book Antiqua" w:hAnsi="Book Antiqua" w:cs="Book Antiqua"/>
        </w:rPr>
      </w:pPr>
    </w:p>
    <w:p w14:paraId="0D557C60" w14:textId="77777777" w:rsidR="005D690E" w:rsidRPr="00AF5361" w:rsidRDefault="005D690E">
      <w:pPr>
        <w:pStyle w:val="Heading1"/>
        <w:spacing w:before="80"/>
        <w:ind w:left="851" w:right="-46"/>
        <w:jc w:val="center"/>
        <w:rPr>
          <w:rFonts w:ascii="Book Antiqua" w:eastAsia="Book Antiqua" w:hAnsi="Book Antiqua" w:cs="Book Antiqua"/>
          <w:b w:val="0"/>
          <w:bCs w:val="0"/>
          <w:sz w:val="24"/>
          <w:szCs w:val="24"/>
        </w:rPr>
      </w:pPr>
    </w:p>
    <w:tbl>
      <w:tblPr>
        <w:tblStyle w:val="a"/>
        <w:tblW w:w="9072" w:type="dxa"/>
        <w:tblInd w:w="-115" w:type="dxa"/>
        <w:tblLayout w:type="fixed"/>
        <w:tblLook w:val="0400" w:firstRow="0" w:lastRow="0" w:firstColumn="0" w:lastColumn="0" w:noHBand="0" w:noVBand="1"/>
      </w:tblPr>
      <w:tblGrid>
        <w:gridCol w:w="2235"/>
        <w:gridCol w:w="6837"/>
      </w:tblGrid>
      <w:tr w:rsidR="005D690E" w14:paraId="18DF33A2" w14:textId="77777777">
        <w:trPr>
          <w:trHeight w:val="3541"/>
        </w:trPr>
        <w:tc>
          <w:tcPr>
            <w:tcW w:w="2235" w:type="dxa"/>
          </w:tcPr>
          <w:p w14:paraId="239117DD" w14:textId="77777777" w:rsidR="005D690E" w:rsidRPr="00AF5361" w:rsidRDefault="005D690E">
            <w:pPr>
              <w:widowControl w:val="0"/>
              <w:pBdr>
                <w:top w:val="nil"/>
                <w:left w:val="nil"/>
                <w:bottom w:val="nil"/>
                <w:right w:val="nil"/>
                <w:between w:val="nil"/>
              </w:pBdr>
              <w:spacing w:after="0" w:line="240" w:lineRule="auto"/>
              <w:ind w:left="690" w:right="192"/>
              <w:rPr>
                <w:rFonts w:ascii="Book Antiqua" w:eastAsia="Book Antiqua" w:hAnsi="Book Antiqua" w:cs="Book Antiqua"/>
                <w:b/>
                <w:bCs/>
                <w:color w:val="4F81BD"/>
                <w:sz w:val="24"/>
                <w:szCs w:val="24"/>
              </w:rPr>
            </w:pPr>
          </w:p>
          <w:p w14:paraId="104D3A7A" w14:textId="77777777" w:rsidR="005D690E" w:rsidRDefault="00000000">
            <w:pPr>
              <w:widowControl w:val="0"/>
              <w:pBdr>
                <w:top w:val="nil"/>
                <w:left w:val="nil"/>
                <w:bottom w:val="nil"/>
                <w:right w:val="nil"/>
                <w:between w:val="nil"/>
              </w:pBdr>
              <w:spacing w:after="0" w:line="240" w:lineRule="auto"/>
              <w:ind w:right="192"/>
              <w:rPr>
                <w:rFonts w:ascii="Book Antiqua" w:eastAsia="Book Antiqua" w:hAnsi="Book Antiqua" w:cs="Book Antiqua"/>
                <w:color w:val="002060"/>
                <w:sz w:val="24"/>
                <w:szCs w:val="24"/>
              </w:rPr>
            </w:pPr>
            <w:r>
              <w:rPr>
                <w:rFonts w:ascii="Book Antiqua" w:eastAsia="Book Antiqua" w:hAnsi="Book Antiqua" w:cs="Book Antiqua"/>
                <w:b/>
                <w:bCs/>
                <w:color w:val="000000"/>
                <w:sz w:val="24"/>
                <w:szCs w:val="24"/>
              </w:rPr>
              <w:t>KEYWORDS</w:t>
            </w:r>
            <w:r>
              <w:rPr>
                <w:rFonts w:ascii="Book Antiqua" w:eastAsia="Book Antiqua" w:hAnsi="Book Antiqua" w:cs="Book Antiqua"/>
                <w:color w:val="002060"/>
                <w:sz w:val="24"/>
                <w:szCs w:val="24"/>
              </w:rPr>
              <w:t xml:space="preserve"> </w:t>
            </w:r>
          </w:p>
          <w:p w14:paraId="7DC90ED7" w14:textId="77777777" w:rsidR="005D690E" w:rsidRDefault="00000000">
            <w:pPr>
              <w:widowControl w:val="0"/>
              <w:pBdr>
                <w:top w:val="nil"/>
                <w:left w:val="nil"/>
                <w:bottom w:val="nil"/>
                <w:right w:val="nil"/>
                <w:between w:val="nil"/>
              </w:pBdr>
              <w:spacing w:after="0" w:line="240" w:lineRule="auto"/>
              <w:ind w:right="192"/>
              <w:rPr>
                <w:rFonts w:ascii="Book Antiqua" w:eastAsia="Book Antiqua" w:hAnsi="Book Antiqua" w:cs="Book Antiqua"/>
                <w:color w:val="000000"/>
                <w:sz w:val="24"/>
                <w:szCs w:val="24"/>
              </w:rPr>
            </w:pPr>
            <w:r>
              <w:rPr>
                <w:rFonts w:ascii="Book Antiqua" w:eastAsia="Book Antiqua" w:hAnsi="Book Antiqua" w:cs="Book Antiqua"/>
                <w:sz w:val="24"/>
                <w:szCs w:val="24"/>
              </w:rPr>
              <w:t>Exchange Rate, ISSI, Islamic Capital Market, Cointegration, Flow-Oriented Model, Indonesia</w:t>
            </w:r>
          </w:p>
          <w:p w14:paraId="254B5AF9" w14:textId="77777777" w:rsidR="005D690E" w:rsidRDefault="005D690E">
            <w:pPr>
              <w:widowControl w:val="0"/>
              <w:pBdr>
                <w:top w:val="nil"/>
                <w:left w:val="nil"/>
                <w:bottom w:val="nil"/>
                <w:right w:val="nil"/>
                <w:between w:val="nil"/>
              </w:pBdr>
              <w:spacing w:after="0" w:line="240" w:lineRule="auto"/>
              <w:ind w:right="192"/>
              <w:rPr>
                <w:rFonts w:ascii="Book Antiqua" w:eastAsia="Book Antiqua" w:hAnsi="Book Antiqua" w:cs="Book Antiqua"/>
                <w:color w:val="000000"/>
                <w:sz w:val="24"/>
                <w:szCs w:val="24"/>
              </w:rPr>
            </w:pPr>
            <w:bookmarkStart w:id="1" w:name="_aq0wsjmqzd2o" w:colFirst="0" w:colLast="0"/>
            <w:bookmarkEnd w:id="1"/>
          </w:p>
        </w:tc>
        <w:tc>
          <w:tcPr>
            <w:tcW w:w="6837" w:type="dxa"/>
          </w:tcPr>
          <w:p w14:paraId="56EDC884" w14:textId="77777777" w:rsidR="005D690E" w:rsidRDefault="00000000">
            <w:pPr>
              <w:widowControl w:val="0"/>
              <w:pBdr>
                <w:top w:val="nil"/>
                <w:left w:val="nil"/>
                <w:bottom w:val="nil"/>
                <w:right w:val="nil"/>
                <w:between w:val="nil"/>
              </w:pBdr>
              <w:spacing w:after="0" w:line="240" w:lineRule="auto"/>
              <w:jc w:val="center"/>
              <w:rPr>
                <w:rFonts w:ascii="Book Antiqua" w:eastAsia="Book Antiqua" w:hAnsi="Book Antiqua" w:cs="Book Antiqua"/>
                <w:color w:val="000000"/>
                <w:sz w:val="24"/>
                <w:szCs w:val="24"/>
              </w:rPr>
            </w:pPr>
            <w:r>
              <w:rPr>
                <w:rFonts w:ascii="Book Antiqua" w:eastAsia="Book Antiqua" w:hAnsi="Book Antiqua" w:cs="Book Antiqua"/>
                <w:b/>
                <w:bCs/>
                <w:color w:val="000000"/>
                <w:sz w:val="24"/>
                <w:szCs w:val="24"/>
              </w:rPr>
              <w:t xml:space="preserve">ABSTRACT </w:t>
            </w:r>
          </w:p>
          <w:p w14:paraId="7B32436C" w14:textId="77777777" w:rsidR="005D690E" w:rsidRDefault="00000000">
            <w:pPr>
              <w:widowControl w:val="0"/>
              <w:pBdr>
                <w:top w:val="nil"/>
                <w:left w:val="nil"/>
                <w:bottom w:val="nil"/>
                <w:right w:val="nil"/>
                <w:between w:val="nil"/>
              </w:pBdr>
              <w:spacing w:after="0" w:line="240" w:lineRule="auto"/>
              <w:ind w:left="206"/>
              <w:jc w:val="both"/>
              <w:rPr>
                <w:rFonts w:ascii="Book Antiqua" w:eastAsia="Book Antiqua" w:hAnsi="Book Antiqua" w:cs="Book Antiqua"/>
                <w:sz w:val="20"/>
                <w:szCs w:val="20"/>
              </w:rPr>
            </w:pPr>
            <w:r>
              <w:rPr>
                <w:rFonts w:ascii="Book Antiqua" w:eastAsia="Book Antiqua" w:hAnsi="Book Antiqua" w:cs="Book Antiqua"/>
                <w:sz w:val="20"/>
                <w:szCs w:val="20"/>
              </w:rPr>
              <w:t>This study investigates the impact of the Indonesian Rupiah (IDR) exchange rate against the United States Dollar (USD) on the Indonesian Sharia Stock Index (ISSI) during the 2020–2025 period. Using monthly time-series data comprising 72 observations, the analysis employs the Ordinary Least Squares (OLS) method, supported by the Augmented Dickey–Fuller (ADF) unit root test, classical diagnostic tests, and the Engle–Granger cointegration approach. The ADF results reveal that both variables are non-stationary at level but become stationary after first differencing, indicating integration of order one, I(1). The level regression initially suggests a positive and statistically significant relationship between the exchange rate and ISSI (R² = 0.684). However, the relatively low Durbin–Watson statistic indicates the possibility of spurious regression. After transforming the variables into first differences, the relationship turns negative and remains statistically significant (β = −177.18; p = 0.027), supporting the predictions of the flow-oriented exchange rate model. Furthermore, the cointegration test confirms the existence of a long-run equilibrium relationship between the exchange rate and ISSI. The findings suggest that Rupiah depreciation exerts downward pressure on the Sharia stock market in the short run, while both variables maintain a stable long-run relationship. The contrast between the level and differenced estimations highlights the importance of addressing non-stationarity when examining exchange rate–stock market relationships in Islamic capital markets. This study contributes to the literature by providing updated evidence from a period characterized by the COVID-19 pandemic, post-pandemic recovery, and global monetary tightening, while also emphasizing the methodological importance of distinguishing between short-run dynamics and long-run equilibrium relationships. The findings offer practical implications for investors, regulators, and policymakers in managing exchange-rate-related risks within Indonesia’s Islamic financial market.</w:t>
            </w:r>
          </w:p>
          <w:p w14:paraId="52516D69" w14:textId="77777777" w:rsidR="005D690E" w:rsidRDefault="005D690E">
            <w:pPr>
              <w:widowControl w:val="0"/>
              <w:pBdr>
                <w:top w:val="nil"/>
                <w:left w:val="nil"/>
                <w:bottom w:val="nil"/>
                <w:right w:val="nil"/>
                <w:between w:val="nil"/>
              </w:pBdr>
              <w:spacing w:after="0" w:line="240" w:lineRule="auto"/>
              <w:ind w:left="206"/>
              <w:jc w:val="both"/>
              <w:rPr>
                <w:rFonts w:ascii="Book Antiqua" w:eastAsia="Book Antiqua" w:hAnsi="Book Antiqua" w:cs="Book Antiqua"/>
                <w:sz w:val="20"/>
                <w:szCs w:val="20"/>
              </w:rPr>
            </w:pPr>
          </w:p>
        </w:tc>
      </w:tr>
    </w:tbl>
    <w:p w14:paraId="52E5374F" w14:textId="77777777" w:rsidR="005D690E" w:rsidRDefault="00000000">
      <w:pPr>
        <w:spacing w:after="0" w:line="240" w:lineRule="auto"/>
        <w:rPr>
          <w:rFonts w:ascii="Book Antiqua" w:eastAsia="Book Antiqua" w:hAnsi="Book Antiqua" w:cs="Book Antiqua"/>
          <w:b/>
          <w:bCs/>
          <w:color w:val="000000"/>
          <w:sz w:val="24"/>
          <w:szCs w:val="24"/>
        </w:rPr>
      </w:pPr>
      <w:r>
        <w:rPr>
          <w:rFonts w:ascii="Book Antiqua" w:eastAsia="Book Antiqua" w:hAnsi="Book Antiqua" w:cs="Book Antiqua"/>
          <w:b/>
          <w:bCs/>
          <w:color w:val="000000"/>
          <w:sz w:val="24"/>
          <w:szCs w:val="24"/>
        </w:rPr>
        <w:t>INTRODUCTION</w:t>
      </w:r>
    </w:p>
    <w:p w14:paraId="3E87B880" w14:textId="77777777" w:rsidR="005D690E" w:rsidRDefault="00000000">
      <w:pPr>
        <w:spacing w:line="240" w:lineRule="auto"/>
        <w:ind w:firstLine="426"/>
        <w:jc w:val="both"/>
        <w:rPr>
          <w:rFonts w:ascii="Book Antiqua" w:eastAsia="Book Antiqua" w:hAnsi="Book Antiqua" w:cs="Book Antiqua"/>
          <w:sz w:val="24"/>
          <w:szCs w:val="24"/>
        </w:rPr>
      </w:pPr>
      <w:r>
        <w:rPr>
          <w:rFonts w:ascii="Book Antiqua" w:eastAsia="Book Antiqua" w:hAnsi="Book Antiqua" w:cs="Book Antiqua"/>
          <w:sz w:val="24"/>
          <w:szCs w:val="24"/>
        </w:rPr>
        <w:lastRenderedPageBreak/>
        <w:t xml:space="preserve">The capital market constitutes one of the fundamental pillars of a modern economic system, serving as a mechanism for mobilizing public savings and allocating financial resources efficiently across productive sectors. In Indonesia, capital market development has not been limited to conventional financial instruments but has also experienced substantial growth within the Islamic finance sector. This development has been facilitated by the Financial Services Authority (OJK) and the Indonesia Stock Exchange (IDX) through the establishment of the Indonesian Sharia Stock Index (ISSI) on 12 May 2011. As a comprehensive benchmark encompassing all Sharia-compliant stocks listed on the Indonesia Stock Exchange and included in the Sharia Securities List (Daftar </w:t>
      </w:r>
      <w:proofErr w:type="spellStart"/>
      <w:r>
        <w:rPr>
          <w:rFonts w:ascii="Book Antiqua" w:eastAsia="Book Antiqua" w:hAnsi="Book Antiqua" w:cs="Book Antiqua"/>
          <w:sz w:val="24"/>
          <w:szCs w:val="24"/>
        </w:rPr>
        <w:t>Efek</w:t>
      </w:r>
      <w:proofErr w:type="spellEnd"/>
      <w:r>
        <w:rPr>
          <w:rFonts w:ascii="Book Antiqua" w:eastAsia="Book Antiqua" w:hAnsi="Book Antiqua" w:cs="Book Antiqua"/>
          <w:sz w:val="24"/>
          <w:szCs w:val="24"/>
        </w:rPr>
        <w:t xml:space="preserve"> Syariah/DES), ISSI serves as an important indicator of the performance and development of Indonesia’s Islamic capital market.</w:t>
      </w:r>
    </w:p>
    <w:p w14:paraId="77BDE86E" w14:textId="77777777" w:rsidR="005D690E" w:rsidRDefault="00000000">
      <w:pPr>
        <w:spacing w:line="240" w:lineRule="auto"/>
        <w:ind w:firstLine="426"/>
        <w:jc w:val="both"/>
        <w:rPr>
          <w:rFonts w:ascii="Book Antiqua" w:eastAsia="Book Antiqua" w:hAnsi="Book Antiqua" w:cs="Book Antiqua"/>
          <w:sz w:val="24"/>
          <w:szCs w:val="24"/>
        </w:rPr>
      </w:pPr>
      <w:r>
        <w:rPr>
          <w:rFonts w:ascii="Book Antiqua" w:eastAsia="Book Antiqua" w:hAnsi="Book Antiqua" w:cs="Book Antiqua"/>
          <w:sz w:val="24"/>
          <w:szCs w:val="24"/>
        </w:rPr>
        <w:t>As an open emerging economy, Indonesia remains highly exposed to fluctuations in both domestic and global macroeconomic conditions. Among various macroeconomic indicators, the exchange rate occupies a particularly important position due to its direct influence on investor sentiment, capital flows, corporate profitability, and overall financial market stability. Exchange rate volatility can alter investment decisions, affect firms’ operating costs, and shape market expectations regarding future economic performance. Consequently, understanding the relationship between exchange rate movements and stock market performance has become an increasingly important issue in both academic and policy discussions.</w:t>
      </w:r>
    </w:p>
    <w:p w14:paraId="4B8AAD4F" w14:textId="77777777" w:rsidR="005D690E" w:rsidRDefault="00000000">
      <w:pPr>
        <w:spacing w:line="240" w:lineRule="auto"/>
        <w:ind w:firstLine="426"/>
        <w:jc w:val="both"/>
        <w:rPr>
          <w:rFonts w:ascii="Book Antiqua" w:eastAsia="Book Antiqua" w:hAnsi="Book Antiqua" w:cs="Book Antiqua"/>
          <w:sz w:val="24"/>
          <w:szCs w:val="24"/>
        </w:rPr>
      </w:pPr>
      <w:r>
        <w:rPr>
          <w:rFonts w:ascii="Book Antiqua" w:eastAsia="Book Antiqua" w:hAnsi="Book Antiqua" w:cs="Book Antiqua"/>
          <w:sz w:val="24"/>
          <w:szCs w:val="24"/>
        </w:rPr>
        <w:t>Recent developments further highlight the importance of this issue. During the first half of 2026, the Indonesian Rupiah experienced renewed depreciation pressure, reaching levels above IDR 18,000 per US Dollar and recording one of its weakest positions in recent history. This depreciation was driven by a combination of external factors, including the strengthening of the US Dollar, expectations of prolonged monetary tightening by the Federal Reserve, rising US Treasury yields, geopolitical tensions in the Middle East, and persistent capital outflows from emerging markets. Such developments have revived concerns regarding the vulnerability of Indonesia’s financial markets to exchange rate shocks and have intensified interest in understanding how currency movements affect investment instruments, including Sharia-compliant equities.</w:t>
      </w:r>
    </w:p>
    <w:p w14:paraId="22279887" w14:textId="77777777" w:rsidR="005D690E" w:rsidRDefault="00000000">
      <w:pPr>
        <w:spacing w:line="240" w:lineRule="auto"/>
        <w:ind w:firstLine="426"/>
        <w:jc w:val="both"/>
        <w:rPr>
          <w:rFonts w:ascii="Book Antiqua" w:eastAsia="Book Antiqua" w:hAnsi="Book Antiqua" w:cs="Book Antiqua"/>
          <w:sz w:val="24"/>
          <w:szCs w:val="24"/>
        </w:rPr>
      </w:pPr>
      <w:r>
        <w:rPr>
          <w:rFonts w:ascii="Book Antiqua" w:eastAsia="Book Antiqua" w:hAnsi="Book Antiqua" w:cs="Book Antiqua"/>
          <w:sz w:val="24"/>
          <w:szCs w:val="24"/>
        </w:rPr>
        <w:t xml:space="preserve">The depreciation observed in 2026 should not be interpreted as an isolated event. Rather, it represents the continuation of exchange-rate dynamics that evolved throughout the 2020–2025 period. During 2020–2021, the COVID-19 pandemic generated unprecedented uncertainty in global financial markets, triggering significant depreciation of the Rupiah as investors shifted toward safe-haven assets. Subsequently, the post-pandemic recovery period was followed by a sharp increase in global inflation during 2022–2023, prompting the Federal Reserve to aggressively raise interest rates. This policy shift resulted in substantial capital outflows from emerging economies, including Indonesia, thereby placing additional pressure on the Rupiah. Exchange rate volatility persisted through 2024 and 2025, creating a unique </w:t>
      </w:r>
      <w:r>
        <w:rPr>
          <w:rFonts w:ascii="Book Antiqua" w:eastAsia="Book Antiqua" w:hAnsi="Book Antiqua" w:cs="Book Antiqua"/>
          <w:sz w:val="24"/>
          <w:szCs w:val="24"/>
        </w:rPr>
        <w:lastRenderedPageBreak/>
        <w:t>empirical setting characterized by consecutive economic shocks, including a global health crisis, economic recovery, and international monetary tightening.</w:t>
      </w:r>
    </w:p>
    <w:p w14:paraId="64132AF0" w14:textId="77777777" w:rsidR="005D690E" w:rsidRDefault="00000000">
      <w:pPr>
        <w:spacing w:line="240" w:lineRule="auto"/>
        <w:ind w:firstLine="426"/>
        <w:jc w:val="both"/>
        <w:rPr>
          <w:rFonts w:ascii="Book Antiqua" w:eastAsia="Book Antiqua" w:hAnsi="Book Antiqua" w:cs="Book Antiqua"/>
          <w:sz w:val="24"/>
          <w:szCs w:val="24"/>
        </w:rPr>
      </w:pPr>
      <w:r>
        <w:rPr>
          <w:rFonts w:ascii="Book Antiqua" w:eastAsia="Book Antiqua" w:hAnsi="Book Antiqua" w:cs="Book Antiqua"/>
          <w:sz w:val="24"/>
          <w:szCs w:val="24"/>
        </w:rPr>
        <w:t>From a theoretical perspective, exchange rates constitute one of the most important macroeconomic variables influencing stock market performance. Currency depreciation may increase production costs for firms that rely on imported intermediate goods, raise the burden of foreign-currency-denominated liabilities, and alter foreign investors’ return expectations. According to the Arbitrage Pricing Theory (APT) proposed by Ross (1976), exchange rate fluctuations represent a systematic risk factor capable of influencing asset valuation and portfolio allocation decisions. Therefore, exchange rate stability is often regarded as a prerequisite for maintaining investor confidence and ensuring the efficient functioning of financial markets.</w:t>
      </w:r>
    </w:p>
    <w:p w14:paraId="4E63265C" w14:textId="77777777" w:rsidR="005D690E" w:rsidRDefault="00000000">
      <w:pPr>
        <w:spacing w:line="240" w:lineRule="auto"/>
        <w:ind w:firstLine="426"/>
        <w:jc w:val="both"/>
        <w:rPr>
          <w:rFonts w:ascii="Book Antiqua" w:eastAsia="Book Antiqua" w:hAnsi="Book Antiqua" w:cs="Book Antiqua"/>
          <w:sz w:val="24"/>
          <w:szCs w:val="24"/>
        </w:rPr>
      </w:pPr>
      <w:r>
        <w:rPr>
          <w:rFonts w:ascii="Book Antiqua" w:eastAsia="Book Antiqua" w:hAnsi="Book Antiqua" w:cs="Book Antiqua"/>
          <w:sz w:val="24"/>
          <w:szCs w:val="24"/>
        </w:rPr>
        <w:t>Within this context, the Islamic capital market presents a particularly interesting case. Unlike conventional firms, Sharia-compliant companies are subject to specific screening requirements that restrict excessive leverage and interest-based financing. In Indonesia, firms included in the Sharia Securities List must comply with financial screening criteria that limit interest-bearing debt to a maximum proportion of total assets. These requirements imply that Sharia-compliant firms may exhibit different sensitivities to exchange rate fluctuations compared with conventional firms. Consequently, the Indonesian Sharia Stock Index (ISSI) provides a valuable framework for examining whether the distinctive characteristics of Islamic financial principles contribute to greater resilience against macroeconomic shocks.</w:t>
      </w:r>
    </w:p>
    <w:p w14:paraId="4CC363D9" w14:textId="77777777" w:rsidR="005D690E" w:rsidRDefault="00000000">
      <w:pPr>
        <w:spacing w:line="240" w:lineRule="auto"/>
        <w:ind w:firstLine="426"/>
        <w:jc w:val="both"/>
        <w:rPr>
          <w:rFonts w:ascii="Book Antiqua" w:eastAsia="Book Antiqua" w:hAnsi="Book Antiqua" w:cs="Book Antiqua"/>
          <w:sz w:val="24"/>
          <w:szCs w:val="24"/>
        </w:rPr>
      </w:pPr>
      <w:r>
        <w:rPr>
          <w:rFonts w:ascii="Book Antiqua" w:eastAsia="Book Antiqua" w:hAnsi="Book Antiqua" w:cs="Book Antiqua"/>
          <w:sz w:val="24"/>
          <w:szCs w:val="24"/>
        </w:rPr>
        <w:t>The relationship between exchange rates and stock prices has traditionally been explained through two major theoretical frameworks. The first is the flow-oriented model developed by Dornbusch and Fischer (1980), which argues that exchange rate movements affect firms’ competitiveness, profitability, and cash flows, thereby influencing stock prices. Under this framework, currency depreciation is generally expected to exert a negative effect on stock market performance, particularly in economies that depend heavily on imported inputs. The second is the stock-oriented model proposed by Branson (1983), which suggests that stock market movements influence investor wealth and international portfolio allocation, thereby affecting exchange rates through capital flows. Together, these theories indicate that exchange rates and stock prices may be linked through complex and potentially bidirectional relationships.</w:t>
      </w:r>
    </w:p>
    <w:p w14:paraId="7EDA6028" w14:textId="77777777" w:rsidR="005D690E" w:rsidRDefault="00000000">
      <w:pPr>
        <w:spacing w:line="240" w:lineRule="auto"/>
        <w:ind w:firstLine="426"/>
        <w:jc w:val="both"/>
        <w:rPr>
          <w:rFonts w:ascii="Book Antiqua" w:eastAsia="Book Antiqua" w:hAnsi="Book Antiqua" w:cs="Book Antiqua"/>
          <w:sz w:val="24"/>
          <w:szCs w:val="24"/>
        </w:rPr>
      </w:pPr>
      <w:r>
        <w:rPr>
          <w:rFonts w:ascii="Book Antiqua" w:eastAsia="Book Antiqua" w:hAnsi="Book Antiqua" w:cs="Book Antiqua"/>
          <w:sz w:val="24"/>
          <w:szCs w:val="24"/>
        </w:rPr>
        <w:t>Despite extensive empirical investigation, existing evidence remains inconclusive. Several studies conducted in Indonesia report a significant negative relationship between exchange rates and ISSI, supporting the predictions of the flow-oriented model. Other studies, however, find insignificant or even positive relationships, suggesting that Sharia-compliant firms may possess internal characteristics that mitigate the adverse effects of exchange rate volatility. These inconsistent findings indicate that the exchange rate–stock market nexus remains an unresolved issue within the literature on Islamic capital markets.</w:t>
      </w:r>
    </w:p>
    <w:p w14:paraId="1AA7E70E" w14:textId="77777777" w:rsidR="005D690E" w:rsidRDefault="00000000">
      <w:pPr>
        <w:spacing w:line="240" w:lineRule="auto"/>
        <w:ind w:firstLine="426"/>
        <w:jc w:val="both"/>
        <w:rPr>
          <w:rFonts w:ascii="Book Antiqua" w:eastAsia="Book Antiqua" w:hAnsi="Book Antiqua" w:cs="Book Antiqua"/>
          <w:sz w:val="24"/>
          <w:szCs w:val="24"/>
        </w:rPr>
      </w:pPr>
      <w:r>
        <w:rPr>
          <w:rFonts w:ascii="Book Antiqua" w:eastAsia="Book Antiqua" w:hAnsi="Book Antiqua" w:cs="Book Antiqua"/>
          <w:sz w:val="24"/>
          <w:szCs w:val="24"/>
        </w:rPr>
        <w:lastRenderedPageBreak/>
        <w:t>This study addresses three important research gaps. First, the majority of previous studies have concentrated on conventional stock market indices such as the Composite Stock Price Index (IHSG) and LQ45, while empirical investigations focusing specifically on ISSI remain relatively limited. Second, existing research rarely examines the complete 2020–2025 period, which encompasses the COVID-19 pandemic, post-pandemic recovery, and global monetary tightening within a single analytical framework. Third, the unique financial characteristics of Sharia-compliant firms may generate different responses to exchange rate fluctuations, yet this issue has received insufficient empirical attention.</w:t>
      </w:r>
    </w:p>
    <w:p w14:paraId="3657B5C4" w14:textId="77777777" w:rsidR="005D690E" w:rsidRDefault="00000000">
      <w:pPr>
        <w:spacing w:line="240" w:lineRule="auto"/>
        <w:ind w:firstLine="426"/>
        <w:jc w:val="both"/>
        <w:rPr>
          <w:rFonts w:ascii="Book Antiqua" w:eastAsia="Book Antiqua" w:hAnsi="Book Antiqua" w:cs="Book Antiqua"/>
          <w:sz w:val="24"/>
          <w:szCs w:val="24"/>
        </w:rPr>
      </w:pPr>
      <w:r>
        <w:rPr>
          <w:rFonts w:ascii="Book Antiqua" w:eastAsia="Book Antiqua" w:hAnsi="Book Antiqua" w:cs="Book Antiqua"/>
          <w:sz w:val="24"/>
          <w:szCs w:val="24"/>
        </w:rPr>
        <w:t>Accordingly, this study aims to examine the effect of the Rupiah–US Dollar exchange rate on the Indonesian Sharia Stock Index (ISSI) during the 2020–2025 period. By employing monthly time-series data and econometric techniques, the study seeks to provide updated empirical evidence regarding the exchange rate–stock market relationship and evaluate the applicability of the flow-oriented model within the context of Indonesia’s Islamic capital market. The findings are expected to contribute to the literature on Islamic finance while offering practical implications for investors, regulators, and policymakers in managing exchange-rate-related risks within Sharia-compliant investment markets.</w:t>
      </w:r>
    </w:p>
    <w:p w14:paraId="5DE4E416" w14:textId="77777777" w:rsidR="005D690E" w:rsidRDefault="00000000">
      <w:pPr>
        <w:spacing w:before="240" w:after="0" w:line="240" w:lineRule="auto"/>
        <w:rPr>
          <w:rFonts w:ascii="Book Antiqua" w:eastAsia="Book Antiqua" w:hAnsi="Book Antiqua" w:cs="Book Antiqua"/>
          <w:b/>
          <w:bCs/>
          <w:color w:val="000000"/>
          <w:sz w:val="24"/>
          <w:szCs w:val="24"/>
        </w:rPr>
      </w:pPr>
      <w:r>
        <w:rPr>
          <w:rFonts w:ascii="Book Antiqua" w:eastAsia="Book Antiqua" w:hAnsi="Book Antiqua" w:cs="Book Antiqua"/>
          <w:b/>
          <w:bCs/>
          <w:color w:val="000000"/>
          <w:sz w:val="24"/>
          <w:szCs w:val="24"/>
        </w:rPr>
        <w:t>METHOD</w:t>
      </w:r>
      <w:r>
        <w:rPr>
          <w:rFonts w:ascii="Book Antiqua" w:eastAsia="Book Antiqua" w:hAnsi="Book Antiqua" w:cs="Book Antiqua"/>
          <w:b/>
          <w:bCs/>
          <w:sz w:val="24"/>
          <w:szCs w:val="24"/>
        </w:rPr>
        <w:t xml:space="preserve"> </w:t>
      </w:r>
      <w:r>
        <w:rPr>
          <w:rFonts w:ascii="Book Antiqua" w:eastAsia="Book Antiqua" w:hAnsi="Book Antiqua" w:cs="Book Antiqua"/>
          <w:b/>
          <w:bCs/>
          <w:color w:val="000000"/>
          <w:sz w:val="24"/>
          <w:szCs w:val="24"/>
        </w:rPr>
        <w:t>RESEARCH</w:t>
      </w:r>
    </w:p>
    <w:p w14:paraId="310F0F90" w14:textId="77777777" w:rsidR="005D690E" w:rsidRDefault="00000000">
      <w:pPr>
        <w:spacing w:before="240" w:after="0" w:line="240" w:lineRule="auto"/>
        <w:rPr>
          <w:rFonts w:ascii="Book Antiqua" w:eastAsia="Book Antiqua" w:hAnsi="Book Antiqua" w:cs="Book Antiqua"/>
          <w:b/>
          <w:bCs/>
          <w:sz w:val="24"/>
          <w:szCs w:val="24"/>
        </w:rPr>
      </w:pPr>
      <w:r>
        <w:rPr>
          <w:rFonts w:ascii="Book Antiqua" w:eastAsia="Book Antiqua" w:hAnsi="Book Antiqua" w:cs="Book Antiqua"/>
          <w:b/>
          <w:bCs/>
          <w:sz w:val="24"/>
          <w:szCs w:val="24"/>
        </w:rPr>
        <w:t>Research Design</w:t>
      </w:r>
    </w:p>
    <w:p w14:paraId="29D4CC8C"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This study employs a quantitative research approach using time-series data to examine the impact of the Rupiah–US Dollar exchange rate on the Indonesian Sharia Stock Index (ISSI) over the period 2020–2025. A quantitative approach is considered appropriate because the primary objective of this research is to empirically assess the statistical relationship between macroeconomic variables and stock market performance through econometric analysis. The study adopts an explanatory research design, aiming to identify and explain the extent to which fluctuations in the exchange rate influence the performance of Indonesia’s Islamic capital market.</w:t>
      </w:r>
    </w:p>
    <w:p w14:paraId="63B7EA67"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The analytical framework is grounded in the flow-oriented exchange rate model proposed by Dornbusch and Fischer (1980), which suggests that exchange rate movements affect firms’ competitiveness, profitability, and ultimately stock prices. Within this framework, the Rupiah–US Dollar exchange rate is treated as the independent variable, while the Indonesian Sharia Stock Index (ISSI) serves as the dependent variable.</w:t>
      </w:r>
    </w:p>
    <w:p w14:paraId="21A85F91" w14:textId="77777777" w:rsidR="005D690E" w:rsidRDefault="00000000">
      <w:pPr>
        <w:spacing w:before="240" w:after="0" w:line="240" w:lineRule="auto"/>
        <w:rPr>
          <w:rFonts w:ascii="Book Antiqua" w:eastAsia="Book Antiqua" w:hAnsi="Book Antiqua" w:cs="Book Antiqua"/>
          <w:sz w:val="24"/>
          <w:szCs w:val="24"/>
        </w:rPr>
      </w:pPr>
      <w:r>
        <w:rPr>
          <w:rFonts w:ascii="Book Antiqua" w:eastAsia="Book Antiqua" w:hAnsi="Book Antiqua" w:cs="Book Antiqua"/>
          <w:b/>
          <w:bCs/>
          <w:sz w:val="24"/>
          <w:szCs w:val="24"/>
        </w:rPr>
        <w:t>Data and Sources</w:t>
      </w:r>
    </w:p>
    <w:p w14:paraId="5366F19A"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This study relies exclusively on secondary data obtained from official institutional publications. The exchange rate data represent the monthly Rupiah exchange rate against the United States Dollar and were collected from publications </w:t>
      </w:r>
      <w:r>
        <w:rPr>
          <w:rFonts w:ascii="Book Antiqua" w:eastAsia="Book Antiqua" w:hAnsi="Book Antiqua" w:cs="Book Antiqua"/>
          <w:sz w:val="24"/>
          <w:szCs w:val="24"/>
        </w:rPr>
        <w:lastRenderedPageBreak/>
        <w:t>issued by Bank Indonesia and the Ministry of Trade of the Republic of Indonesia. Data on the Indonesian Sharia Stock Index (ISSI) were obtained from the Financial Services Authority (OJK) and supporting publications from the Indonesia Stock Exchange (IDX).</w:t>
      </w:r>
    </w:p>
    <w:p w14:paraId="2F4F7611"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The observation period extends from January 2020 to December 2025, generating a total of 72 monthly observations. This period was deliberately selected because it encompasses several major economic episodes, including the COVID-19 pandemic, the post-pandemic recovery phase, and the period of global monetary tightening, thereby providing a rich empirical setting for examining the interaction between exchange rate dynamics and Sharia stock market performance.</w:t>
      </w:r>
    </w:p>
    <w:p w14:paraId="16712AD7" w14:textId="77777777" w:rsidR="005D690E" w:rsidRDefault="00000000">
      <w:pPr>
        <w:spacing w:before="240" w:after="240" w:line="240" w:lineRule="auto"/>
        <w:ind w:firstLine="720"/>
        <w:jc w:val="both"/>
        <w:rPr>
          <w:rFonts w:ascii="Book Antiqua" w:eastAsia="Book Antiqua" w:hAnsi="Book Antiqua" w:cs="Book Antiqua"/>
          <w:b/>
          <w:bCs/>
          <w:sz w:val="24"/>
          <w:szCs w:val="24"/>
        </w:rPr>
      </w:pPr>
      <w:r>
        <w:rPr>
          <w:rFonts w:ascii="Book Antiqua" w:eastAsia="Book Antiqua" w:hAnsi="Book Antiqua" w:cs="Book Antiqua"/>
          <w:sz w:val="24"/>
          <w:szCs w:val="24"/>
        </w:rPr>
        <w:t>Data collection was conducted using the documentation method, whereby statistical data and official reports published by relevant institutions were systematically compiled and organized into a monthly time-series dataset. Since all variables are publicly available through official sources, the documentation approach ensures both data reliability and consistency throughout the study period.</w:t>
      </w:r>
    </w:p>
    <w:p w14:paraId="0E854A95" w14:textId="77777777" w:rsidR="005D690E" w:rsidRDefault="00000000">
      <w:pPr>
        <w:spacing w:before="240" w:after="0" w:line="240" w:lineRule="auto"/>
        <w:rPr>
          <w:rFonts w:ascii="Book Antiqua" w:eastAsia="Book Antiqua" w:hAnsi="Book Antiqua" w:cs="Book Antiqua"/>
          <w:sz w:val="24"/>
          <w:szCs w:val="24"/>
        </w:rPr>
      </w:pPr>
      <w:r>
        <w:rPr>
          <w:rFonts w:ascii="Book Antiqua" w:eastAsia="Book Antiqua" w:hAnsi="Book Antiqua" w:cs="Book Antiqua"/>
          <w:b/>
          <w:bCs/>
          <w:sz w:val="24"/>
          <w:szCs w:val="24"/>
        </w:rPr>
        <w:t>Variable Measurement</w:t>
      </w:r>
    </w:p>
    <w:p w14:paraId="2A8AECC1"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The study utilizes two variables. The dependent variable is the Indonesian Sharia Stock Index (ISSI), measured using the monthly closing value of the index. ISSI serves as a comprehensive indicator representing the performance of all Sharia-compliant stocks listed on the Indonesia Stock Exchange and included in the Sharia Securities List. The independent variable is the Rupiah–US Dollar exchange rate (KURS), measured using the monthly exchange rate expressed in Indonesian Rupiah per United States Dollar (IDR/USD). An increase in the exchange rate indicates a depreciation of the Rupiah, whereas a decrease indicates an appreciation of the domestic currency.</w:t>
      </w:r>
    </w:p>
    <w:p w14:paraId="2EA96B8D" w14:textId="77777777" w:rsidR="005D690E" w:rsidRDefault="00000000">
      <w:pPr>
        <w:spacing w:before="240" w:after="0" w:line="240" w:lineRule="auto"/>
        <w:rPr>
          <w:rFonts w:ascii="Book Antiqua" w:eastAsia="Book Antiqua" w:hAnsi="Book Antiqua" w:cs="Book Antiqua"/>
          <w:b/>
          <w:bCs/>
          <w:sz w:val="24"/>
          <w:szCs w:val="24"/>
        </w:rPr>
      </w:pPr>
      <w:r>
        <w:rPr>
          <w:rFonts w:ascii="Book Antiqua" w:eastAsia="Book Antiqua" w:hAnsi="Book Antiqua" w:cs="Book Antiqua"/>
          <w:b/>
          <w:bCs/>
          <w:sz w:val="24"/>
          <w:szCs w:val="24"/>
        </w:rPr>
        <w:t>Econometric Model</w:t>
      </w:r>
    </w:p>
    <w:p w14:paraId="348FC5FB"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To examine the effect of exchange rate movements on the performance of the Indonesian Sharia Stock Index, the study employs a simple linear regression model estimated using the Ordinary Least Squares (OLS) method. The baseline model is specified as follows:</w:t>
      </w:r>
    </w:p>
    <w:p w14:paraId="0AAB0C26" w14:textId="77777777" w:rsidR="005D690E" w:rsidRDefault="00000000">
      <w:pPr>
        <w:spacing w:before="240" w:after="240" w:line="240" w:lineRule="auto"/>
        <w:ind w:left="2160"/>
        <w:jc w:val="both"/>
        <w:rPr>
          <w:rFonts w:ascii="Book Antiqua" w:eastAsia="Book Antiqua" w:hAnsi="Book Antiqua" w:cs="Book Antiqua"/>
          <w:sz w:val="24"/>
          <w:szCs w:val="24"/>
        </w:rPr>
      </w:pPr>
      <w:r>
        <w:rPr>
          <w:rFonts w:ascii="Book Antiqua" w:eastAsia="Book Antiqua" w:hAnsi="Book Antiqua" w:cs="Book Antiqua"/>
          <w:sz w:val="24"/>
          <w:szCs w:val="24"/>
        </w:rPr>
        <w:t>ISSIₜ = α + βKURSₜ + εₜ ...................................(1)</w:t>
      </w:r>
    </w:p>
    <w:p w14:paraId="5EFDB8BD"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where:</w:t>
      </w:r>
    </w:p>
    <w:p w14:paraId="46A50792" w14:textId="77777777" w:rsidR="005D690E" w:rsidRDefault="00000000">
      <w:pPr>
        <w:numPr>
          <w:ilvl w:val="0"/>
          <w:numId w:val="1"/>
        </w:numPr>
        <w:spacing w:before="240" w:after="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(ISSIₜ) represents the Indonesian Sharia Stock Index at time (t);</w:t>
      </w:r>
    </w:p>
    <w:p w14:paraId="44204EDF" w14:textId="77777777" w:rsidR="005D690E" w:rsidRDefault="00000000">
      <w:pPr>
        <w:numPr>
          <w:ilvl w:val="0"/>
          <w:numId w:val="1"/>
        </w:numPr>
        <w:spacing w:after="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(KURSₜ) denotes the Rupiah–US Dollar exchange rate at time (t);</w:t>
      </w:r>
    </w:p>
    <w:p w14:paraId="267E8AE5" w14:textId="77777777" w:rsidR="005D690E" w:rsidRDefault="00000000">
      <w:pPr>
        <w:numPr>
          <w:ilvl w:val="0"/>
          <w:numId w:val="1"/>
        </w:numPr>
        <w:spacing w:after="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(α) is the intercept term;</w:t>
      </w:r>
    </w:p>
    <w:p w14:paraId="5FA32A69" w14:textId="77777777" w:rsidR="005D690E" w:rsidRDefault="00000000">
      <w:pPr>
        <w:numPr>
          <w:ilvl w:val="0"/>
          <w:numId w:val="1"/>
        </w:numPr>
        <w:spacing w:after="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lastRenderedPageBreak/>
        <w:t>(β) is the slope coefficient measuring the effect of exchange rate movements on ISSI;</w:t>
      </w:r>
    </w:p>
    <w:p w14:paraId="119EF954" w14:textId="77777777" w:rsidR="005D690E" w:rsidRDefault="00000000">
      <w:pPr>
        <w:numPr>
          <w:ilvl w:val="0"/>
          <w:numId w:val="1"/>
        </w:numPr>
        <w:spacing w:after="24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(εₜ) is the stochastic error term.</w:t>
      </w:r>
    </w:p>
    <w:p w14:paraId="1ACFD6AC" w14:textId="77777777" w:rsidR="005D690E" w:rsidRDefault="00000000">
      <w:pPr>
        <w:spacing w:before="240" w:after="24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 xml:space="preserve">Given that financial and macroeconomic time-series data frequently exhibit non-stationary </w:t>
      </w:r>
      <w:proofErr w:type="spellStart"/>
      <w:r>
        <w:rPr>
          <w:rFonts w:ascii="Book Antiqua" w:eastAsia="Book Antiqua" w:hAnsi="Book Antiqua" w:cs="Book Antiqua"/>
          <w:sz w:val="24"/>
          <w:szCs w:val="24"/>
        </w:rPr>
        <w:t>behavior</w:t>
      </w:r>
      <w:proofErr w:type="spellEnd"/>
      <w:r>
        <w:rPr>
          <w:rFonts w:ascii="Book Antiqua" w:eastAsia="Book Antiqua" w:hAnsi="Book Antiqua" w:cs="Book Antiqua"/>
          <w:sz w:val="24"/>
          <w:szCs w:val="24"/>
        </w:rPr>
        <w:t>, direct estimation at level may generate misleading results in the form of spurious regression. Therefore, the study complements the baseline regression analysis with unit root and cointegration tests to ensure the validity of statistical inference. If the variables are found to be non-stationary at level, the model is re-estimated using first-differenced data to capture short-run dynamics. Furthermore, cointegration analysis is employed to investigate the existence of a long-run equilibrium relationship between the variables.</w:t>
      </w:r>
    </w:p>
    <w:p w14:paraId="326B3F14" w14:textId="77777777" w:rsidR="005D690E" w:rsidRDefault="00000000">
      <w:pPr>
        <w:spacing w:before="240" w:after="0" w:line="240" w:lineRule="auto"/>
        <w:rPr>
          <w:rFonts w:ascii="Book Antiqua" w:eastAsia="Book Antiqua" w:hAnsi="Book Antiqua" w:cs="Book Antiqua"/>
          <w:sz w:val="24"/>
          <w:szCs w:val="24"/>
        </w:rPr>
      </w:pPr>
      <w:r>
        <w:rPr>
          <w:rFonts w:ascii="Book Antiqua" w:eastAsia="Book Antiqua" w:hAnsi="Book Antiqua" w:cs="Book Antiqua"/>
          <w:b/>
          <w:bCs/>
          <w:sz w:val="24"/>
          <w:szCs w:val="24"/>
        </w:rPr>
        <w:t>Data Analysis Techniques</w:t>
      </w:r>
    </w:p>
    <w:p w14:paraId="575FBDC1"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The empirical analysis is conducted using EViews software and follows several sequential procedures.</w:t>
      </w:r>
    </w:p>
    <w:p w14:paraId="0EFF66A3" w14:textId="77777777" w:rsidR="005D690E" w:rsidRDefault="00000000">
      <w:pPr>
        <w:spacing w:before="240" w:after="240" w:line="240" w:lineRule="auto"/>
        <w:jc w:val="both"/>
        <w:rPr>
          <w:rFonts w:ascii="Book Antiqua" w:eastAsia="Book Antiqua" w:hAnsi="Book Antiqua" w:cs="Book Antiqua"/>
          <w:sz w:val="24"/>
          <w:szCs w:val="24"/>
        </w:rPr>
      </w:pPr>
      <w:r>
        <w:rPr>
          <w:rFonts w:ascii="Book Antiqua" w:eastAsia="Book Antiqua" w:hAnsi="Book Antiqua" w:cs="Book Antiqua"/>
          <w:b/>
          <w:bCs/>
          <w:sz w:val="24"/>
          <w:szCs w:val="24"/>
        </w:rPr>
        <w:t>Descriptive Statistics</w:t>
      </w:r>
    </w:p>
    <w:p w14:paraId="771146AA"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The first stage involves descriptive statistical analysis to provide an overview of the characteristics of the data. Descriptive measures include the mean, median, maximum value, minimum value, and standard deviation for each variable.</w:t>
      </w:r>
    </w:p>
    <w:p w14:paraId="6CD0E496" w14:textId="77777777" w:rsidR="005D690E" w:rsidRDefault="00000000">
      <w:pPr>
        <w:spacing w:before="240" w:after="240" w:line="240" w:lineRule="auto"/>
        <w:jc w:val="both"/>
        <w:rPr>
          <w:rFonts w:ascii="Book Antiqua" w:eastAsia="Book Antiqua" w:hAnsi="Book Antiqua" w:cs="Book Antiqua"/>
          <w:sz w:val="24"/>
          <w:szCs w:val="24"/>
        </w:rPr>
      </w:pPr>
      <w:r>
        <w:rPr>
          <w:rFonts w:ascii="Book Antiqua" w:eastAsia="Book Antiqua" w:hAnsi="Book Antiqua" w:cs="Book Antiqua"/>
          <w:b/>
          <w:bCs/>
          <w:sz w:val="24"/>
          <w:szCs w:val="24"/>
        </w:rPr>
        <w:t>Unit Root Test</w:t>
      </w:r>
    </w:p>
    <w:p w14:paraId="24DE4003"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To determine the stationarity properties of the variables, the Augmented Dickey–Fuller (ADF) test is employed. The test is performed at both level and first-difference forms. A variable is considered stationary when the associated probability value is below the 5 percent significance level. Establishing stationarity is essential because non-stationary variables may lead to biased and inconsistent regression results.</w:t>
      </w:r>
    </w:p>
    <w:p w14:paraId="7D4A6DC1" w14:textId="77777777" w:rsidR="005D690E" w:rsidRDefault="00000000">
      <w:pPr>
        <w:spacing w:before="240" w:after="240" w:line="240" w:lineRule="auto"/>
        <w:jc w:val="both"/>
        <w:rPr>
          <w:rFonts w:ascii="Book Antiqua" w:eastAsia="Book Antiqua" w:hAnsi="Book Antiqua" w:cs="Book Antiqua"/>
          <w:sz w:val="24"/>
          <w:szCs w:val="24"/>
        </w:rPr>
      </w:pPr>
      <w:r>
        <w:rPr>
          <w:rFonts w:ascii="Book Antiqua" w:eastAsia="Book Antiqua" w:hAnsi="Book Antiqua" w:cs="Book Antiqua"/>
          <w:b/>
          <w:bCs/>
          <w:sz w:val="24"/>
          <w:szCs w:val="24"/>
        </w:rPr>
        <w:t>Classical Diagnostic Tests</w:t>
      </w:r>
    </w:p>
    <w:p w14:paraId="2B618DEF"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To ensure that the OLS estimators satisfy the Gauss–Markov assumptions and produce Best Linear Unbiased Estimators (BLUE), several diagnostic tests are conducted. These include the Jarque–Bera test for residual normality, the Breusch–Godfrey Lagrange Multiplier test for autocorrelation, and the Breusch–Pagan–Godfrey (or White) test for heteroskedasticity. Since the model contains only one independent variable, multicollinearity is not considered a relevant concern.</w:t>
      </w:r>
    </w:p>
    <w:p w14:paraId="588ED760" w14:textId="77777777" w:rsidR="005D690E" w:rsidRDefault="00000000">
      <w:pPr>
        <w:spacing w:before="240" w:after="240" w:line="240" w:lineRule="auto"/>
        <w:jc w:val="both"/>
        <w:rPr>
          <w:rFonts w:ascii="Book Antiqua" w:eastAsia="Book Antiqua" w:hAnsi="Book Antiqua" w:cs="Book Antiqua"/>
          <w:sz w:val="24"/>
          <w:szCs w:val="24"/>
        </w:rPr>
      </w:pPr>
      <w:r>
        <w:rPr>
          <w:rFonts w:ascii="Book Antiqua" w:eastAsia="Book Antiqua" w:hAnsi="Book Antiqua" w:cs="Book Antiqua"/>
          <w:b/>
          <w:bCs/>
          <w:sz w:val="24"/>
          <w:szCs w:val="24"/>
        </w:rPr>
        <w:t>Regression Analysis and Hypothesis Testing</w:t>
      </w:r>
    </w:p>
    <w:p w14:paraId="7AE957A3"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lastRenderedPageBreak/>
        <w:t>The main hypothesis is evaluated using Ordinary Least Squares (OLS) estimation. Statistical significance is assessed through the t-test, which examines the partial effect of the exchange rate on ISSI. The overall adequacy of the regression model is evaluated using the F-test, while the coefficient of determination ((R^2)) is used to assess the explanatory power of the independent variable. The sign and magnitude of the estimated coefficient provide insights into the direction and strength of the relationship between exchange rate movements and the Indonesian Sharia Stock Index.</w:t>
      </w:r>
    </w:p>
    <w:p w14:paraId="64D3F948" w14:textId="77777777" w:rsidR="005D690E" w:rsidRDefault="00000000">
      <w:pPr>
        <w:spacing w:before="240" w:after="0" w:line="240" w:lineRule="auto"/>
        <w:rPr>
          <w:rFonts w:ascii="Book Antiqua" w:eastAsia="Book Antiqua" w:hAnsi="Book Antiqua" w:cs="Book Antiqua"/>
          <w:b/>
          <w:bCs/>
          <w:color w:val="000000"/>
          <w:sz w:val="24"/>
          <w:szCs w:val="24"/>
        </w:rPr>
      </w:pPr>
      <w:r>
        <w:rPr>
          <w:rFonts w:ascii="Book Antiqua" w:eastAsia="Book Antiqua" w:hAnsi="Book Antiqua" w:cs="Book Antiqua"/>
          <w:b/>
          <w:bCs/>
          <w:color w:val="000000"/>
          <w:sz w:val="24"/>
          <w:szCs w:val="24"/>
        </w:rPr>
        <w:t>RESULT AND DISCUSSION</w:t>
      </w:r>
    </w:p>
    <w:p w14:paraId="330F1CBE" w14:textId="77777777" w:rsidR="005D690E" w:rsidRDefault="00000000">
      <w:pPr>
        <w:spacing w:line="240" w:lineRule="auto"/>
        <w:ind w:firstLine="720"/>
        <w:jc w:val="both"/>
        <w:rPr>
          <w:rFonts w:ascii="Book Antiqua" w:eastAsia="Book Antiqua" w:hAnsi="Book Antiqua" w:cs="Book Antiqua"/>
          <w:b/>
          <w:bCs/>
          <w:sz w:val="24"/>
          <w:szCs w:val="24"/>
        </w:rPr>
      </w:pPr>
      <w:r>
        <w:rPr>
          <w:rFonts w:ascii="Book Antiqua" w:eastAsia="Book Antiqua" w:hAnsi="Book Antiqua" w:cs="Book Antiqua"/>
          <w:sz w:val="24"/>
          <w:szCs w:val="24"/>
        </w:rPr>
        <w:t>Table 1 presents the descriptive statistics of the variables used in this study. During the observation period, ISSI recorded an average value of 5,155,595.38, with a minimum value of 2,688,657.92 and a maximum value of 9,981,862.38. Meanwhile, the Rupiah–US Dollar exchange rate averaged IDR 15,252.50 per USD, ranging from IDR 13,662.00 to IDR 16,787.00. The relatively large standard deviation of ISSI indicates substantial variation in the performance of the Indonesian Sharia stock market throughout the study period. Similarly, exchange rate fluctuations reflect significant movements in the Rupiah, particularly during periods of heightened global economic uncertainty.</w:t>
      </w:r>
    </w:p>
    <w:p w14:paraId="65CE79D7" w14:textId="77777777" w:rsidR="005D690E" w:rsidRDefault="00000000">
      <w:pPr>
        <w:spacing w:line="240" w:lineRule="auto"/>
        <w:jc w:val="center"/>
        <w:rPr>
          <w:rFonts w:ascii="Book Antiqua" w:eastAsia="Book Antiqua" w:hAnsi="Book Antiqua" w:cs="Book Antiqua"/>
          <w:b/>
          <w:bCs/>
          <w:sz w:val="24"/>
          <w:szCs w:val="24"/>
        </w:rPr>
      </w:pPr>
      <w:r>
        <w:rPr>
          <w:rFonts w:ascii="Book Antiqua" w:eastAsia="Book Antiqua" w:hAnsi="Book Antiqua" w:cs="Book Antiqua"/>
          <w:b/>
          <w:bCs/>
          <w:sz w:val="24"/>
          <w:szCs w:val="24"/>
        </w:rPr>
        <w:t>Table 1. Descriptive Statistics</w:t>
      </w:r>
    </w:p>
    <w:tbl>
      <w:tblPr>
        <w:tblStyle w:val="a0"/>
        <w:tblW w:w="70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50"/>
        <w:gridCol w:w="1625"/>
        <w:gridCol w:w="2930"/>
      </w:tblGrid>
      <w:tr w:rsidR="005D690E" w14:paraId="18FC6E67" w14:textId="77777777">
        <w:trPr>
          <w:trHeight w:val="515"/>
        </w:trPr>
        <w:tc>
          <w:tcPr>
            <w:tcW w:w="2450" w:type="dxa"/>
            <w:tcBorders>
              <w:top w:val="nil"/>
              <w:left w:val="nil"/>
              <w:bottom w:val="single" w:sz="4" w:space="0" w:color="000000"/>
              <w:right w:val="nil"/>
            </w:tcBorders>
            <w:tcMar>
              <w:top w:w="100" w:type="dxa"/>
              <w:left w:w="100" w:type="dxa"/>
              <w:bottom w:w="100" w:type="dxa"/>
              <w:right w:w="100" w:type="dxa"/>
            </w:tcMar>
          </w:tcPr>
          <w:p w14:paraId="3D251E9F"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Statistic</w:t>
            </w:r>
          </w:p>
        </w:tc>
        <w:tc>
          <w:tcPr>
            <w:tcW w:w="1625" w:type="dxa"/>
            <w:tcBorders>
              <w:top w:val="nil"/>
              <w:left w:val="nil"/>
              <w:bottom w:val="single" w:sz="4" w:space="0" w:color="000000"/>
              <w:right w:val="nil"/>
            </w:tcBorders>
            <w:tcMar>
              <w:top w:w="100" w:type="dxa"/>
              <w:left w:w="100" w:type="dxa"/>
              <w:bottom w:w="100" w:type="dxa"/>
              <w:right w:w="100" w:type="dxa"/>
            </w:tcMar>
          </w:tcPr>
          <w:p w14:paraId="54149AB8"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ISSI</w:t>
            </w:r>
          </w:p>
        </w:tc>
        <w:tc>
          <w:tcPr>
            <w:tcW w:w="2930" w:type="dxa"/>
            <w:tcBorders>
              <w:top w:val="nil"/>
              <w:left w:val="nil"/>
              <w:bottom w:val="single" w:sz="4" w:space="0" w:color="000000"/>
              <w:right w:val="nil"/>
            </w:tcBorders>
            <w:tcMar>
              <w:top w:w="100" w:type="dxa"/>
              <w:left w:w="100" w:type="dxa"/>
              <w:bottom w:w="100" w:type="dxa"/>
              <w:right w:w="100" w:type="dxa"/>
            </w:tcMar>
          </w:tcPr>
          <w:p w14:paraId="35806055"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Exchange Rate (KURS)</w:t>
            </w:r>
          </w:p>
        </w:tc>
      </w:tr>
      <w:tr w:rsidR="005D690E" w14:paraId="2D77E0F6" w14:textId="77777777">
        <w:trPr>
          <w:trHeight w:val="515"/>
        </w:trPr>
        <w:tc>
          <w:tcPr>
            <w:tcW w:w="2450" w:type="dxa"/>
            <w:tcBorders>
              <w:top w:val="single" w:sz="4" w:space="0" w:color="000000"/>
              <w:left w:val="nil"/>
              <w:bottom w:val="single" w:sz="4" w:space="0" w:color="000000"/>
              <w:right w:val="nil"/>
            </w:tcBorders>
            <w:tcMar>
              <w:top w:w="100" w:type="dxa"/>
              <w:left w:w="100" w:type="dxa"/>
              <w:bottom w:w="100" w:type="dxa"/>
              <w:right w:w="100" w:type="dxa"/>
            </w:tcMar>
          </w:tcPr>
          <w:p w14:paraId="272430DF"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Mean</w:t>
            </w:r>
          </w:p>
        </w:tc>
        <w:tc>
          <w:tcPr>
            <w:tcW w:w="1625" w:type="dxa"/>
            <w:tcBorders>
              <w:top w:val="single" w:sz="4" w:space="0" w:color="000000"/>
              <w:left w:val="nil"/>
              <w:bottom w:val="single" w:sz="4" w:space="0" w:color="000000"/>
              <w:right w:val="nil"/>
            </w:tcBorders>
            <w:tcMar>
              <w:top w:w="100" w:type="dxa"/>
              <w:left w:w="100" w:type="dxa"/>
              <w:bottom w:w="100" w:type="dxa"/>
              <w:right w:w="100" w:type="dxa"/>
            </w:tcMar>
          </w:tcPr>
          <w:p w14:paraId="3273B17B"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5,155,595.38</w:t>
            </w:r>
          </w:p>
        </w:tc>
        <w:tc>
          <w:tcPr>
            <w:tcW w:w="2930" w:type="dxa"/>
            <w:tcBorders>
              <w:top w:val="single" w:sz="4" w:space="0" w:color="000000"/>
              <w:left w:val="nil"/>
              <w:bottom w:val="single" w:sz="4" w:space="0" w:color="000000"/>
              <w:right w:val="nil"/>
            </w:tcBorders>
            <w:tcMar>
              <w:top w:w="100" w:type="dxa"/>
              <w:left w:w="100" w:type="dxa"/>
              <w:bottom w:w="100" w:type="dxa"/>
              <w:right w:w="100" w:type="dxa"/>
            </w:tcMar>
          </w:tcPr>
          <w:p w14:paraId="1B6C86B0"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15,252.50</w:t>
            </w:r>
          </w:p>
        </w:tc>
      </w:tr>
      <w:tr w:rsidR="005D690E" w14:paraId="26B2CA54" w14:textId="77777777">
        <w:trPr>
          <w:trHeight w:val="515"/>
        </w:trPr>
        <w:tc>
          <w:tcPr>
            <w:tcW w:w="2450" w:type="dxa"/>
            <w:tcBorders>
              <w:top w:val="single" w:sz="4" w:space="0" w:color="000000"/>
              <w:left w:val="nil"/>
              <w:bottom w:val="single" w:sz="4" w:space="0" w:color="000000"/>
              <w:right w:val="nil"/>
            </w:tcBorders>
            <w:tcMar>
              <w:top w:w="100" w:type="dxa"/>
              <w:left w:w="100" w:type="dxa"/>
              <w:bottom w:w="100" w:type="dxa"/>
              <w:right w:w="100" w:type="dxa"/>
            </w:tcMar>
          </w:tcPr>
          <w:p w14:paraId="6AFDFABB"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Median</w:t>
            </w:r>
          </w:p>
        </w:tc>
        <w:tc>
          <w:tcPr>
            <w:tcW w:w="1625" w:type="dxa"/>
            <w:tcBorders>
              <w:top w:val="single" w:sz="4" w:space="0" w:color="000000"/>
              <w:left w:val="nil"/>
              <w:bottom w:val="single" w:sz="4" w:space="0" w:color="000000"/>
              <w:right w:val="nil"/>
            </w:tcBorders>
            <w:tcMar>
              <w:top w:w="100" w:type="dxa"/>
              <w:left w:w="100" w:type="dxa"/>
              <w:bottom w:w="100" w:type="dxa"/>
              <w:right w:w="100" w:type="dxa"/>
            </w:tcMar>
          </w:tcPr>
          <w:p w14:paraId="2C88CF12"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4,621,719.10</w:t>
            </w:r>
          </w:p>
        </w:tc>
        <w:tc>
          <w:tcPr>
            <w:tcW w:w="2930" w:type="dxa"/>
            <w:tcBorders>
              <w:top w:val="single" w:sz="4" w:space="0" w:color="000000"/>
              <w:left w:val="nil"/>
              <w:bottom w:val="single" w:sz="4" w:space="0" w:color="000000"/>
              <w:right w:val="nil"/>
            </w:tcBorders>
            <w:tcMar>
              <w:top w:w="100" w:type="dxa"/>
              <w:left w:w="100" w:type="dxa"/>
              <w:bottom w:w="100" w:type="dxa"/>
              <w:right w:w="100" w:type="dxa"/>
            </w:tcMar>
          </w:tcPr>
          <w:p w14:paraId="177CB830"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15,110.50</w:t>
            </w:r>
          </w:p>
        </w:tc>
      </w:tr>
      <w:tr w:rsidR="005D690E" w14:paraId="46F946C9" w14:textId="77777777">
        <w:trPr>
          <w:trHeight w:val="515"/>
        </w:trPr>
        <w:tc>
          <w:tcPr>
            <w:tcW w:w="2450" w:type="dxa"/>
            <w:tcBorders>
              <w:top w:val="single" w:sz="4" w:space="0" w:color="000000"/>
              <w:left w:val="nil"/>
              <w:bottom w:val="single" w:sz="4" w:space="0" w:color="000000"/>
              <w:right w:val="nil"/>
            </w:tcBorders>
            <w:tcMar>
              <w:top w:w="100" w:type="dxa"/>
              <w:left w:w="100" w:type="dxa"/>
              <w:bottom w:w="100" w:type="dxa"/>
              <w:right w:w="100" w:type="dxa"/>
            </w:tcMar>
          </w:tcPr>
          <w:p w14:paraId="3408B788"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Maximum</w:t>
            </w:r>
          </w:p>
        </w:tc>
        <w:tc>
          <w:tcPr>
            <w:tcW w:w="1625" w:type="dxa"/>
            <w:tcBorders>
              <w:top w:val="single" w:sz="4" w:space="0" w:color="000000"/>
              <w:left w:val="nil"/>
              <w:bottom w:val="single" w:sz="4" w:space="0" w:color="000000"/>
              <w:right w:val="nil"/>
            </w:tcBorders>
            <w:tcMar>
              <w:top w:w="100" w:type="dxa"/>
              <w:left w:w="100" w:type="dxa"/>
              <w:bottom w:w="100" w:type="dxa"/>
              <w:right w:w="100" w:type="dxa"/>
            </w:tcMar>
          </w:tcPr>
          <w:p w14:paraId="4D75AD07"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9,981,862.38</w:t>
            </w:r>
          </w:p>
        </w:tc>
        <w:tc>
          <w:tcPr>
            <w:tcW w:w="2930" w:type="dxa"/>
            <w:tcBorders>
              <w:top w:val="single" w:sz="4" w:space="0" w:color="000000"/>
              <w:left w:val="nil"/>
              <w:bottom w:val="single" w:sz="4" w:space="0" w:color="000000"/>
              <w:right w:val="nil"/>
            </w:tcBorders>
            <w:tcMar>
              <w:top w:w="100" w:type="dxa"/>
              <w:left w:w="100" w:type="dxa"/>
              <w:bottom w:w="100" w:type="dxa"/>
              <w:right w:w="100" w:type="dxa"/>
            </w:tcMar>
          </w:tcPr>
          <w:p w14:paraId="367BD077"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16,787.00</w:t>
            </w:r>
          </w:p>
        </w:tc>
      </w:tr>
      <w:tr w:rsidR="005D690E" w14:paraId="2027B167" w14:textId="77777777">
        <w:trPr>
          <w:trHeight w:val="515"/>
        </w:trPr>
        <w:tc>
          <w:tcPr>
            <w:tcW w:w="2450" w:type="dxa"/>
            <w:tcBorders>
              <w:top w:val="single" w:sz="4" w:space="0" w:color="000000"/>
              <w:left w:val="nil"/>
              <w:bottom w:val="single" w:sz="4" w:space="0" w:color="000000"/>
              <w:right w:val="nil"/>
            </w:tcBorders>
            <w:tcMar>
              <w:top w:w="100" w:type="dxa"/>
              <w:left w:w="100" w:type="dxa"/>
              <w:bottom w:w="100" w:type="dxa"/>
              <w:right w:w="100" w:type="dxa"/>
            </w:tcMar>
          </w:tcPr>
          <w:p w14:paraId="641D79E3"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Minimum</w:t>
            </w:r>
          </w:p>
        </w:tc>
        <w:tc>
          <w:tcPr>
            <w:tcW w:w="1625" w:type="dxa"/>
            <w:tcBorders>
              <w:top w:val="single" w:sz="4" w:space="0" w:color="000000"/>
              <w:left w:val="nil"/>
              <w:bottom w:val="single" w:sz="4" w:space="0" w:color="000000"/>
              <w:right w:val="nil"/>
            </w:tcBorders>
            <w:tcMar>
              <w:top w:w="100" w:type="dxa"/>
              <w:left w:w="100" w:type="dxa"/>
              <w:bottom w:w="100" w:type="dxa"/>
              <w:right w:w="100" w:type="dxa"/>
            </w:tcMar>
          </w:tcPr>
          <w:p w14:paraId="59D9F6BE"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2,688,657.92</w:t>
            </w:r>
          </w:p>
        </w:tc>
        <w:tc>
          <w:tcPr>
            <w:tcW w:w="2930" w:type="dxa"/>
            <w:tcBorders>
              <w:top w:val="single" w:sz="4" w:space="0" w:color="000000"/>
              <w:left w:val="nil"/>
              <w:bottom w:val="single" w:sz="4" w:space="0" w:color="000000"/>
              <w:right w:val="nil"/>
            </w:tcBorders>
            <w:tcMar>
              <w:top w:w="100" w:type="dxa"/>
              <w:left w:w="100" w:type="dxa"/>
              <w:bottom w:w="100" w:type="dxa"/>
              <w:right w:w="100" w:type="dxa"/>
            </w:tcMar>
          </w:tcPr>
          <w:p w14:paraId="19DBCBD7"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13,662.00</w:t>
            </w:r>
          </w:p>
        </w:tc>
      </w:tr>
      <w:tr w:rsidR="005D690E" w14:paraId="46A513EC" w14:textId="77777777">
        <w:trPr>
          <w:trHeight w:val="515"/>
        </w:trPr>
        <w:tc>
          <w:tcPr>
            <w:tcW w:w="2450" w:type="dxa"/>
            <w:tcBorders>
              <w:top w:val="single" w:sz="4" w:space="0" w:color="000000"/>
              <w:left w:val="nil"/>
              <w:bottom w:val="single" w:sz="4" w:space="0" w:color="000000"/>
              <w:right w:val="nil"/>
            </w:tcBorders>
            <w:tcMar>
              <w:top w:w="100" w:type="dxa"/>
              <w:left w:w="100" w:type="dxa"/>
              <w:bottom w:w="100" w:type="dxa"/>
              <w:right w:w="100" w:type="dxa"/>
            </w:tcMar>
          </w:tcPr>
          <w:p w14:paraId="2DCD7C09"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Standard Deviation</w:t>
            </w:r>
          </w:p>
        </w:tc>
        <w:tc>
          <w:tcPr>
            <w:tcW w:w="1625" w:type="dxa"/>
            <w:tcBorders>
              <w:top w:val="single" w:sz="4" w:space="0" w:color="000000"/>
              <w:left w:val="nil"/>
              <w:bottom w:val="single" w:sz="4" w:space="0" w:color="000000"/>
              <w:right w:val="nil"/>
            </w:tcBorders>
            <w:tcMar>
              <w:top w:w="100" w:type="dxa"/>
              <w:left w:w="100" w:type="dxa"/>
              <w:bottom w:w="100" w:type="dxa"/>
              <w:right w:w="100" w:type="dxa"/>
            </w:tcMar>
          </w:tcPr>
          <w:p w14:paraId="3F1C20EA"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1,850,533.69</w:t>
            </w:r>
          </w:p>
        </w:tc>
        <w:tc>
          <w:tcPr>
            <w:tcW w:w="2930" w:type="dxa"/>
            <w:tcBorders>
              <w:top w:val="single" w:sz="4" w:space="0" w:color="000000"/>
              <w:left w:val="nil"/>
              <w:bottom w:val="single" w:sz="4" w:space="0" w:color="000000"/>
              <w:right w:val="nil"/>
            </w:tcBorders>
            <w:tcMar>
              <w:top w:w="100" w:type="dxa"/>
              <w:left w:w="100" w:type="dxa"/>
              <w:bottom w:w="100" w:type="dxa"/>
              <w:right w:w="100" w:type="dxa"/>
            </w:tcMar>
          </w:tcPr>
          <w:p w14:paraId="35277AF7"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852.34</w:t>
            </w:r>
          </w:p>
        </w:tc>
      </w:tr>
      <w:tr w:rsidR="005D690E" w14:paraId="20BD73BC" w14:textId="77777777">
        <w:trPr>
          <w:trHeight w:val="515"/>
        </w:trPr>
        <w:tc>
          <w:tcPr>
            <w:tcW w:w="2450" w:type="dxa"/>
            <w:tcBorders>
              <w:top w:val="single" w:sz="4" w:space="0" w:color="000000"/>
              <w:left w:val="nil"/>
              <w:bottom w:val="nil"/>
              <w:right w:val="nil"/>
            </w:tcBorders>
            <w:tcMar>
              <w:top w:w="100" w:type="dxa"/>
              <w:left w:w="100" w:type="dxa"/>
              <w:bottom w:w="100" w:type="dxa"/>
              <w:right w:w="100" w:type="dxa"/>
            </w:tcMar>
          </w:tcPr>
          <w:p w14:paraId="45FA156F"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Observations</w:t>
            </w:r>
          </w:p>
        </w:tc>
        <w:tc>
          <w:tcPr>
            <w:tcW w:w="1625" w:type="dxa"/>
            <w:tcBorders>
              <w:top w:val="single" w:sz="4" w:space="0" w:color="000000"/>
              <w:left w:val="nil"/>
              <w:bottom w:val="nil"/>
              <w:right w:val="nil"/>
            </w:tcBorders>
            <w:tcMar>
              <w:top w:w="100" w:type="dxa"/>
              <w:left w:w="100" w:type="dxa"/>
              <w:bottom w:w="100" w:type="dxa"/>
              <w:right w:w="100" w:type="dxa"/>
            </w:tcMar>
          </w:tcPr>
          <w:p w14:paraId="26150EDB"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72</w:t>
            </w:r>
          </w:p>
        </w:tc>
        <w:tc>
          <w:tcPr>
            <w:tcW w:w="2930" w:type="dxa"/>
            <w:tcBorders>
              <w:top w:val="single" w:sz="4" w:space="0" w:color="000000"/>
              <w:left w:val="nil"/>
              <w:bottom w:val="nil"/>
              <w:right w:val="nil"/>
            </w:tcBorders>
            <w:tcMar>
              <w:top w:w="100" w:type="dxa"/>
              <w:left w:w="100" w:type="dxa"/>
              <w:bottom w:w="100" w:type="dxa"/>
              <w:right w:w="100" w:type="dxa"/>
            </w:tcMar>
          </w:tcPr>
          <w:p w14:paraId="10E79EA2"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sz w:val="20"/>
                <w:szCs w:val="20"/>
              </w:rPr>
              <w:t>72</w:t>
            </w:r>
          </w:p>
        </w:tc>
      </w:tr>
    </w:tbl>
    <w:p w14:paraId="1F0DC6B2" w14:textId="77777777" w:rsidR="005D690E" w:rsidRDefault="00000000">
      <w:pPr>
        <w:spacing w:before="240" w:after="240" w:line="240" w:lineRule="auto"/>
        <w:rPr>
          <w:rFonts w:ascii="Book Antiqua" w:eastAsia="Book Antiqua" w:hAnsi="Book Antiqua" w:cs="Book Antiqua"/>
          <w:sz w:val="24"/>
          <w:szCs w:val="24"/>
        </w:rPr>
      </w:pPr>
      <w:r>
        <w:rPr>
          <w:rFonts w:ascii="Book Antiqua" w:eastAsia="Book Antiqua" w:hAnsi="Book Antiqua" w:cs="Book Antiqua"/>
          <w:sz w:val="24"/>
          <w:szCs w:val="24"/>
        </w:rPr>
        <w:t>Source: Author's calculation using EViews</w:t>
      </w:r>
    </w:p>
    <w:p w14:paraId="6E8C5482"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lastRenderedPageBreak/>
        <w:t>ISSI data were obtained from the official statistics of the Indonesia Stock Exchange. The values reported represent the market capitalization associated with Sharia-compliant equities rather than the index points themselves.</w:t>
      </w:r>
    </w:p>
    <w:p w14:paraId="1892E1C3" w14:textId="77777777" w:rsidR="005D690E" w:rsidRDefault="00000000">
      <w:pPr>
        <w:spacing w:before="240" w:after="240" w:line="240" w:lineRule="auto"/>
        <w:jc w:val="both"/>
        <w:rPr>
          <w:rFonts w:ascii="Book Antiqua" w:eastAsia="Book Antiqua" w:hAnsi="Book Antiqua" w:cs="Book Antiqua"/>
          <w:b/>
          <w:bCs/>
          <w:sz w:val="24"/>
          <w:szCs w:val="24"/>
        </w:rPr>
      </w:pPr>
      <w:r>
        <w:rPr>
          <w:rFonts w:ascii="Book Antiqua" w:eastAsia="Book Antiqua" w:hAnsi="Book Antiqua" w:cs="Book Antiqua"/>
          <w:b/>
          <w:bCs/>
          <w:sz w:val="24"/>
          <w:szCs w:val="24"/>
        </w:rPr>
        <w:t>Unit Root Test</w:t>
      </w:r>
    </w:p>
    <w:p w14:paraId="55EBA3EB"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The stationarity properties of the variables were examined using the Augmented Dickey–Fuller (ADF) test. The results are reported in Table 2. At the level form, both ISSI and the exchange rate exhibit probability values exceeding the 5 percent significance level, indicating the presence of a unit root. After first differencing, both variables become stationary with probability values below 0.01. Accordingly, ISSI and KURS are integrated of order one, I(1).</w:t>
      </w:r>
    </w:p>
    <w:p w14:paraId="4BFC6369" w14:textId="77777777" w:rsidR="005D690E" w:rsidRDefault="005D690E">
      <w:pPr>
        <w:spacing w:before="240" w:after="240" w:line="240" w:lineRule="auto"/>
        <w:jc w:val="both"/>
        <w:rPr>
          <w:rFonts w:ascii="Book Antiqua" w:eastAsia="Book Antiqua" w:hAnsi="Book Antiqua" w:cs="Book Antiqua"/>
          <w:b/>
          <w:bCs/>
          <w:sz w:val="24"/>
          <w:szCs w:val="24"/>
        </w:rPr>
      </w:pPr>
    </w:p>
    <w:p w14:paraId="2C7E8258" w14:textId="77777777" w:rsidR="005D690E" w:rsidRDefault="005D690E">
      <w:pPr>
        <w:spacing w:before="240" w:after="240" w:line="240" w:lineRule="auto"/>
        <w:jc w:val="both"/>
        <w:rPr>
          <w:rFonts w:ascii="Book Antiqua" w:eastAsia="Book Antiqua" w:hAnsi="Book Antiqua" w:cs="Book Antiqua"/>
          <w:b/>
          <w:bCs/>
          <w:sz w:val="24"/>
          <w:szCs w:val="24"/>
        </w:rPr>
      </w:pPr>
    </w:p>
    <w:p w14:paraId="0C5B4396" w14:textId="77777777" w:rsidR="005D690E" w:rsidRDefault="00000000">
      <w:pPr>
        <w:spacing w:before="240" w:after="240" w:line="240" w:lineRule="auto"/>
        <w:jc w:val="both"/>
        <w:rPr>
          <w:rFonts w:ascii="Book Antiqua" w:eastAsia="Book Antiqua" w:hAnsi="Book Antiqua" w:cs="Book Antiqua"/>
          <w:b/>
          <w:bCs/>
          <w:sz w:val="24"/>
          <w:szCs w:val="24"/>
        </w:rPr>
      </w:pPr>
      <w:r>
        <w:rPr>
          <w:rFonts w:ascii="Book Antiqua" w:eastAsia="Book Antiqua" w:hAnsi="Book Antiqua" w:cs="Book Antiqua"/>
          <w:b/>
          <w:bCs/>
          <w:sz w:val="24"/>
          <w:szCs w:val="24"/>
        </w:rPr>
        <w:t>Table 2. Augmented Dickey–Fuller Unit Root Test</w:t>
      </w:r>
    </w:p>
    <w:tbl>
      <w:tblPr>
        <w:tblStyle w:val="a1"/>
        <w:tblW w:w="85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65"/>
        <w:gridCol w:w="1790"/>
        <w:gridCol w:w="3065"/>
        <w:gridCol w:w="2405"/>
      </w:tblGrid>
      <w:tr w:rsidR="005D690E" w14:paraId="2024F6ED" w14:textId="77777777">
        <w:trPr>
          <w:trHeight w:val="515"/>
        </w:trPr>
        <w:tc>
          <w:tcPr>
            <w:tcW w:w="1265" w:type="dxa"/>
            <w:tcBorders>
              <w:top w:val="single" w:sz="4" w:space="0" w:color="000000"/>
              <w:left w:val="nil"/>
              <w:bottom w:val="single" w:sz="4" w:space="0" w:color="000000"/>
              <w:right w:val="nil"/>
            </w:tcBorders>
            <w:tcMar>
              <w:top w:w="100" w:type="dxa"/>
              <w:left w:w="100" w:type="dxa"/>
              <w:bottom w:w="100" w:type="dxa"/>
              <w:right w:w="100" w:type="dxa"/>
            </w:tcMar>
          </w:tcPr>
          <w:p w14:paraId="243C8E43"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Variable</w:t>
            </w:r>
          </w:p>
        </w:tc>
        <w:tc>
          <w:tcPr>
            <w:tcW w:w="1790" w:type="dxa"/>
            <w:tcBorders>
              <w:top w:val="single" w:sz="4" w:space="0" w:color="000000"/>
              <w:left w:val="nil"/>
              <w:bottom w:val="single" w:sz="4" w:space="0" w:color="000000"/>
              <w:right w:val="nil"/>
            </w:tcBorders>
            <w:tcMar>
              <w:top w:w="100" w:type="dxa"/>
              <w:left w:w="100" w:type="dxa"/>
              <w:bottom w:w="100" w:type="dxa"/>
              <w:right w:w="100" w:type="dxa"/>
            </w:tcMar>
          </w:tcPr>
          <w:p w14:paraId="422A5FBB"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Level (Prob.)</w:t>
            </w:r>
          </w:p>
        </w:tc>
        <w:tc>
          <w:tcPr>
            <w:tcW w:w="3065" w:type="dxa"/>
            <w:tcBorders>
              <w:top w:val="single" w:sz="4" w:space="0" w:color="000000"/>
              <w:left w:val="nil"/>
              <w:bottom w:val="single" w:sz="4" w:space="0" w:color="000000"/>
              <w:right w:val="nil"/>
            </w:tcBorders>
            <w:tcMar>
              <w:top w:w="100" w:type="dxa"/>
              <w:left w:w="100" w:type="dxa"/>
              <w:bottom w:w="100" w:type="dxa"/>
              <w:right w:w="100" w:type="dxa"/>
            </w:tcMar>
          </w:tcPr>
          <w:p w14:paraId="6EA75608"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First Difference (Prob.)</w:t>
            </w:r>
          </w:p>
        </w:tc>
        <w:tc>
          <w:tcPr>
            <w:tcW w:w="2405" w:type="dxa"/>
            <w:tcBorders>
              <w:top w:val="single" w:sz="4" w:space="0" w:color="000000"/>
              <w:left w:val="nil"/>
              <w:bottom w:val="single" w:sz="4" w:space="0" w:color="000000"/>
              <w:right w:val="nil"/>
            </w:tcBorders>
            <w:tcMar>
              <w:top w:w="100" w:type="dxa"/>
              <w:left w:w="100" w:type="dxa"/>
              <w:bottom w:w="100" w:type="dxa"/>
              <w:right w:w="100" w:type="dxa"/>
            </w:tcMar>
          </w:tcPr>
          <w:p w14:paraId="249C6D97"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Integration Order</w:t>
            </w:r>
          </w:p>
        </w:tc>
      </w:tr>
      <w:tr w:rsidR="005D690E" w14:paraId="55BD8CB8" w14:textId="77777777">
        <w:trPr>
          <w:trHeight w:val="515"/>
        </w:trPr>
        <w:tc>
          <w:tcPr>
            <w:tcW w:w="1265" w:type="dxa"/>
            <w:tcBorders>
              <w:top w:val="single" w:sz="4" w:space="0" w:color="000000"/>
              <w:left w:val="nil"/>
              <w:bottom w:val="single" w:sz="4" w:space="0" w:color="000000"/>
              <w:right w:val="nil"/>
            </w:tcBorders>
            <w:tcMar>
              <w:top w:w="100" w:type="dxa"/>
              <w:left w:w="100" w:type="dxa"/>
              <w:bottom w:w="100" w:type="dxa"/>
              <w:right w:w="100" w:type="dxa"/>
            </w:tcMar>
          </w:tcPr>
          <w:p w14:paraId="452196FF"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ISSI</w:t>
            </w:r>
          </w:p>
        </w:tc>
        <w:tc>
          <w:tcPr>
            <w:tcW w:w="1790" w:type="dxa"/>
            <w:tcBorders>
              <w:top w:val="single" w:sz="4" w:space="0" w:color="000000"/>
              <w:left w:val="nil"/>
              <w:bottom w:val="single" w:sz="4" w:space="0" w:color="000000"/>
              <w:right w:val="nil"/>
            </w:tcBorders>
            <w:tcMar>
              <w:top w:w="100" w:type="dxa"/>
              <w:left w:w="100" w:type="dxa"/>
              <w:bottom w:w="100" w:type="dxa"/>
              <w:right w:w="100" w:type="dxa"/>
            </w:tcMar>
          </w:tcPr>
          <w:p w14:paraId="34AA979E"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0.9975</w:t>
            </w:r>
          </w:p>
        </w:tc>
        <w:tc>
          <w:tcPr>
            <w:tcW w:w="3065" w:type="dxa"/>
            <w:tcBorders>
              <w:top w:val="single" w:sz="4" w:space="0" w:color="000000"/>
              <w:left w:val="nil"/>
              <w:bottom w:val="single" w:sz="4" w:space="0" w:color="000000"/>
              <w:right w:val="nil"/>
            </w:tcBorders>
            <w:tcMar>
              <w:top w:w="100" w:type="dxa"/>
              <w:left w:w="100" w:type="dxa"/>
              <w:bottom w:w="100" w:type="dxa"/>
              <w:right w:w="100" w:type="dxa"/>
            </w:tcMar>
          </w:tcPr>
          <w:p w14:paraId="0F876038"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0.0000</w:t>
            </w:r>
          </w:p>
        </w:tc>
        <w:tc>
          <w:tcPr>
            <w:tcW w:w="2405" w:type="dxa"/>
            <w:tcBorders>
              <w:top w:val="single" w:sz="4" w:space="0" w:color="000000"/>
              <w:left w:val="nil"/>
              <w:bottom w:val="single" w:sz="4" w:space="0" w:color="000000"/>
              <w:right w:val="nil"/>
            </w:tcBorders>
            <w:tcMar>
              <w:top w:w="100" w:type="dxa"/>
              <w:left w:w="100" w:type="dxa"/>
              <w:bottom w:w="100" w:type="dxa"/>
              <w:right w:w="100" w:type="dxa"/>
            </w:tcMar>
          </w:tcPr>
          <w:p w14:paraId="5782F353"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I(1)</w:t>
            </w:r>
          </w:p>
        </w:tc>
      </w:tr>
      <w:tr w:rsidR="005D690E" w14:paraId="6034D27C" w14:textId="77777777">
        <w:trPr>
          <w:trHeight w:val="515"/>
        </w:trPr>
        <w:tc>
          <w:tcPr>
            <w:tcW w:w="1265" w:type="dxa"/>
            <w:tcBorders>
              <w:top w:val="single" w:sz="4" w:space="0" w:color="000000"/>
              <w:left w:val="nil"/>
              <w:bottom w:val="nil"/>
              <w:right w:val="nil"/>
            </w:tcBorders>
            <w:tcMar>
              <w:top w:w="100" w:type="dxa"/>
              <w:left w:w="100" w:type="dxa"/>
              <w:bottom w:w="100" w:type="dxa"/>
              <w:right w:w="100" w:type="dxa"/>
            </w:tcMar>
          </w:tcPr>
          <w:p w14:paraId="63CC5951"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KURS</w:t>
            </w:r>
          </w:p>
        </w:tc>
        <w:tc>
          <w:tcPr>
            <w:tcW w:w="1790" w:type="dxa"/>
            <w:tcBorders>
              <w:top w:val="single" w:sz="4" w:space="0" w:color="000000"/>
              <w:left w:val="nil"/>
              <w:bottom w:val="nil"/>
              <w:right w:val="nil"/>
            </w:tcBorders>
            <w:tcMar>
              <w:top w:w="100" w:type="dxa"/>
              <w:left w:w="100" w:type="dxa"/>
              <w:bottom w:w="100" w:type="dxa"/>
              <w:right w:w="100" w:type="dxa"/>
            </w:tcMar>
          </w:tcPr>
          <w:p w14:paraId="318B5689"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0.9409</w:t>
            </w:r>
          </w:p>
        </w:tc>
        <w:tc>
          <w:tcPr>
            <w:tcW w:w="3065" w:type="dxa"/>
            <w:tcBorders>
              <w:top w:val="single" w:sz="4" w:space="0" w:color="000000"/>
              <w:left w:val="nil"/>
              <w:bottom w:val="nil"/>
              <w:right w:val="nil"/>
            </w:tcBorders>
            <w:tcMar>
              <w:top w:w="100" w:type="dxa"/>
              <w:left w:w="100" w:type="dxa"/>
              <w:bottom w:w="100" w:type="dxa"/>
              <w:right w:w="100" w:type="dxa"/>
            </w:tcMar>
          </w:tcPr>
          <w:p w14:paraId="4983A501"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0.0000</w:t>
            </w:r>
          </w:p>
        </w:tc>
        <w:tc>
          <w:tcPr>
            <w:tcW w:w="2405" w:type="dxa"/>
            <w:tcBorders>
              <w:top w:val="single" w:sz="4" w:space="0" w:color="000000"/>
              <w:left w:val="nil"/>
              <w:bottom w:val="nil"/>
              <w:right w:val="nil"/>
            </w:tcBorders>
            <w:tcMar>
              <w:top w:w="100" w:type="dxa"/>
              <w:left w:w="100" w:type="dxa"/>
              <w:bottom w:w="100" w:type="dxa"/>
              <w:right w:w="100" w:type="dxa"/>
            </w:tcMar>
          </w:tcPr>
          <w:p w14:paraId="5A5DEC08"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I(1)</w:t>
            </w:r>
          </w:p>
        </w:tc>
      </w:tr>
    </w:tbl>
    <w:p w14:paraId="657BC83F" w14:textId="77777777" w:rsidR="005D690E" w:rsidRDefault="00000000">
      <w:pPr>
        <w:spacing w:before="240" w:after="24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Source: Author's calculation using EViews</w:t>
      </w:r>
    </w:p>
    <w:p w14:paraId="58BDF3A0" w14:textId="77777777" w:rsidR="005D690E" w:rsidRDefault="005D690E">
      <w:pPr>
        <w:pStyle w:val="Heading2"/>
        <w:keepNext w:val="0"/>
        <w:keepLines w:val="0"/>
        <w:spacing w:line="240" w:lineRule="auto"/>
        <w:jc w:val="both"/>
        <w:rPr>
          <w:rFonts w:ascii="Book Antiqua" w:eastAsia="Book Antiqua" w:hAnsi="Book Antiqua" w:cs="Book Antiqua"/>
          <w:sz w:val="24"/>
          <w:szCs w:val="24"/>
        </w:rPr>
      </w:pPr>
      <w:bookmarkStart w:id="2" w:name="_a8nktxhg5ooc" w:colFirst="0" w:colLast="0"/>
      <w:bookmarkEnd w:id="2"/>
    </w:p>
    <w:p w14:paraId="0A3819B2" w14:textId="77777777" w:rsidR="005D690E" w:rsidRDefault="00000000">
      <w:pPr>
        <w:pStyle w:val="Heading2"/>
        <w:keepNext w:val="0"/>
        <w:keepLines w:val="0"/>
        <w:spacing w:line="240" w:lineRule="auto"/>
        <w:jc w:val="both"/>
        <w:rPr>
          <w:rFonts w:ascii="Book Antiqua" w:eastAsia="Book Antiqua" w:hAnsi="Book Antiqua" w:cs="Book Antiqua"/>
          <w:sz w:val="24"/>
          <w:szCs w:val="24"/>
        </w:rPr>
      </w:pPr>
      <w:bookmarkStart w:id="3" w:name="_3mo9i7ergmy" w:colFirst="0" w:colLast="0"/>
      <w:bookmarkEnd w:id="3"/>
      <w:r>
        <w:rPr>
          <w:rFonts w:ascii="Book Antiqua" w:eastAsia="Book Antiqua" w:hAnsi="Book Antiqua" w:cs="Book Antiqua"/>
          <w:sz w:val="24"/>
          <w:szCs w:val="24"/>
        </w:rPr>
        <w:t>Regression Results</w:t>
      </w:r>
    </w:p>
    <w:p w14:paraId="253E699A"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The baseline OLS estimation was conducted using the level form of the variables. The estimated regression equation is presented as follows:</w:t>
      </w:r>
    </w:p>
    <w:p w14:paraId="66660BAA" w14:textId="77777777" w:rsidR="005D690E" w:rsidRDefault="00000000">
      <w:pPr>
        <w:spacing w:before="240" w:after="240" w:line="240" w:lineRule="auto"/>
        <w:jc w:val="center"/>
        <w:rPr>
          <w:rFonts w:ascii="Book Antiqua" w:eastAsia="Book Antiqua" w:hAnsi="Book Antiqua" w:cs="Book Antiqua"/>
          <w:sz w:val="24"/>
          <w:szCs w:val="24"/>
        </w:rPr>
      </w:pPr>
      <w:r>
        <w:rPr>
          <w:rFonts w:ascii="Book Antiqua" w:eastAsia="Book Antiqua" w:hAnsi="Book Antiqua" w:cs="Book Antiqua"/>
          <w:sz w:val="24"/>
          <w:szCs w:val="24"/>
        </w:rPr>
        <w:t>(</w:t>
      </w:r>
      <w:proofErr w:type="spellStart"/>
      <w:r>
        <w:rPr>
          <w:rFonts w:ascii="Book Antiqua" w:eastAsia="Book Antiqua" w:hAnsi="Book Antiqua" w:cs="Book Antiqua"/>
          <w:sz w:val="24"/>
          <w:szCs w:val="24"/>
        </w:rPr>
        <w:t>ISSIε</w:t>
      </w:r>
      <w:proofErr w:type="spellEnd"/>
      <w:r>
        <w:rPr>
          <w:rFonts w:ascii="Book Antiqua" w:eastAsia="Book Antiqua" w:hAnsi="Book Antiqua" w:cs="Book Antiqua"/>
          <w:sz w:val="24"/>
          <w:szCs w:val="24"/>
        </w:rPr>
        <w:t>ₜ = -22,238,401.50 + 1,796.03 KURSₜ)</w:t>
      </w:r>
    </w:p>
    <w:p w14:paraId="73DA66F9"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The regression results indicate that the exchange rate coefficient is positive and statistically significant at the 1 percent level. The model explains approximately 68.43 percent of the variation in ISSI, as reflected by the coefficient of determination (R²).</w:t>
      </w:r>
    </w:p>
    <w:p w14:paraId="1CAD6614" w14:textId="77777777" w:rsidR="005D690E" w:rsidRDefault="00000000">
      <w:pPr>
        <w:spacing w:before="240" w:after="240" w:line="240" w:lineRule="auto"/>
        <w:jc w:val="both"/>
        <w:rPr>
          <w:rFonts w:ascii="Book Antiqua" w:eastAsia="Book Antiqua" w:hAnsi="Book Antiqua" w:cs="Book Antiqua"/>
          <w:b/>
          <w:bCs/>
          <w:sz w:val="24"/>
          <w:szCs w:val="24"/>
        </w:rPr>
      </w:pPr>
      <w:r>
        <w:rPr>
          <w:rFonts w:ascii="Book Antiqua" w:eastAsia="Book Antiqua" w:hAnsi="Book Antiqua" w:cs="Book Antiqua"/>
          <w:b/>
          <w:bCs/>
          <w:sz w:val="24"/>
          <w:szCs w:val="24"/>
        </w:rPr>
        <w:t>Table 3. OLS Regression Results (Level Form)</w:t>
      </w:r>
    </w:p>
    <w:tbl>
      <w:tblPr>
        <w:tblStyle w:val="a2"/>
        <w:tblW w:w="76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65"/>
        <w:gridCol w:w="1820"/>
        <w:gridCol w:w="1625"/>
        <w:gridCol w:w="1385"/>
        <w:gridCol w:w="1595"/>
      </w:tblGrid>
      <w:tr w:rsidR="005D690E" w14:paraId="4793B59D" w14:textId="77777777">
        <w:trPr>
          <w:trHeight w:val="515"/>
        </w:trPr>
        <w:tc>
          <w:tcPr>
            <w:tcW w:w="1265" w:type="dxa"/>
            <w:tcBorders>
              <w:top w:val="single" w:sz="4" w:space="0" w:color="000000"/>
              <w:left w:val="nil"/>
              <w:bottom w:val="single" w:sz="4" w:space="0" w:color="000000"/>
              <w:right w:val="nil"/>
            </w:tcBorders>
            <w:tcMar>
              <w:top w:w="100" w:type="dxa"/>
              <w:left w:w="100" w:type="dxa"/>
              <w:bottom w:w="100" w:type="dxa"/>
              <w:right w:w="100" w:type="dxa"/>
            </w:tcMar>
          </w:tcPr>
          <w:p w14:paraId="4331DE6A"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lastRenderedPageBreak/>
              <w:t>Variable</w:t>
            </w:r>
          </w:p>
        </w:tc>
        <w:tc>
          <w:tcPr>
            <w:tcW w:w="1820" w:type="dxa"/>
            <w:tcBorders>
              <w:top w:val="single" w:sz="4" w:space="0" w:color="000000"/>
              <w:left w:val="nil"/>
              <w:bottom w:val="single" w:sz="4" w:space="0" w:color="000000"/>
              <w:right w:val="nil"/>
            </w:tcBorders>
            <w:tcMar>
              <w:top w:w="100" w:type="dxa"/>
              <w:left w:w="100" w:type="dxa"/>
              <w:bottom w:w="100" w:type="dxa"/>
              <w:right w:w="100" w:type="dxa"/>
            </w:tcMar>
          </w:tcPr>
          <w:p w14:paraId="6B2E577B"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Coefficient</w:t>
            </w:r>
          </w:p>
        </w:tc>
        <w:tc>
          <w:tcPr>
            <w:tcW w:w="1625" w:type="dxa"/>
            <w:tcBorders>
              <w:top w:val="single" w:sz="4" w:space="0" w:color="000000"/>
              <w:left w:val="nil"/>
              <w:bottom w:val="single" w:sz="4" w:space="0" w:color="000000"/>
              <w:right w:val="nil"/>
            </w:tcBorders>
            <w:tcMar>
              <w:top w:w="100" w:type="dxa"/>
              <w:left w:w="100" w:type="dxa"/>
              <w:bottom w:w="100" w:type="dxa"/>
              <w:right w:w="100" w:type="dxa"/>
            </w:tcMar>
          </w:tcPr>
          <w:p w14:paraId="6BDEF4C1"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Std. Error</w:t>
            </w:r>
          </w:p>
        </w:tc>
        <w:tc>
          <w:tcPr>
            <w:tcW w:w="1385" w:type="dxa"/>
            <w:tcBorders>
              <w:top w:val="single" w:sz="4" w:space="0" w:color="000000"/>
              <w:left w:val="nil"/>
              <w:bottom w:val="single" w:sz="4" w:space="0" w:color="000000"/>
              <w:right w:val="nil"/>
            </w:tcBorders>
            <w:tcMar>
              <w:top w:w="100" w:type="dxa"/>
              <w:left w:w="100" w:type="dxa"/>
              <w:bottom w:w="100" w:type="dxa"/>
              <w:right w:w="100" w:type="dxa"/>
            </w:tcMar>
          </w:tcPr>
          <w:p w14:paraId="63607FAE"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t-Statistic</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080F21E3"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Probability</w:t>
            </w:r>
          </w:p>
        </w:tc>
      </w:tr>
      <w:tr w:rsidR="005D690E" w14:paraId="0D33452D" w14:textId="77777777">
        <w:trPr>
          <w:trHeight w:val="515"/>
        </w:trPr>
        <w:tc>
          <w:tcPr>
            <w:tcW w:w="1265" w:type="dxa"/>
            <w:tcBorders>
              <w:top w:val="single" w:sz="4" w:space="0" w:color="000000"/>
              <w:left w:val="nil"/>
              <w:bottom w:val="single" w:sz="4" w:space="0" w:color="000000"/>
              <w:right w:val="nil"/>
            </w:tcBorders>
            <w:tcMar>
              <w:top w:w="100" w:type="dxa"/>
              <w:left w:w="100" w:type="dxa"/>
              <w:bottom w:w="100" w:type="dxa"/>
              <w:right w:w="100" w:type="dxa"/>
            </w:tcMar>
          </w:tcPr>
          <w:p w14:paraId="08AB3210"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Constant</w:t>
            </w:r>
          </w:p>
        </w:tc>
        <w:tc>
          <w:tcPr>
            <w:tcW w:w="1820" w:type="dxa"/>
            <w:tcBorders>
              <w:top w:val="single" w:sz="4" w:space="0" w:color="000000"/>
              <w:left w:val="nil"/>
              <w:bottom w:val="single" w:sz="4" w:space="0" w:color="000000"/>
              <w:right w:val="nil"/>
            </w:tcBorders>
            <w:tcMar>
              <w:top w:w="100" w:type="dxa"/>
              <w:left w:w="100" w:type="dxa"/>
              <w:bottom w:w="100" w:type="dxa"/>
              <w:right w:w="100" w:type="dxa"/>
            </w:tcMar>
          </w:tcPr>
          <w:p w14:paraId="2AAC441D"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-22,238,401.50</w:t>
            </w:r>
          </w:p>
        </w:tc>
        <w:tc>
          <w:tcPr>
            <w:tcW w:w="1625" w:type="dxa"/>
            <w:tcBorders>
              <w:top w:val="single" w:sz="4" w:space="0" w:color="000000"/>
              <w:left w:val="nil"/>
              <w:bottom w:val="single" w:sz="4" w:space="0" w:color="000000"/>
              <w:right w:val="nil"/>
            </w:tcBorders>
            <w:tcMar>
              <w:top w:w="100" w:type="dxa"/>
              <w:left w:w="100" w:type="dxa"/>
              <w:bottom w:w="100" w:type="dxa"/>
              <w:right w:w="100" w:type="dxa"/>
            </w:tcMar>
          </w:tcPr>
          <w:p w14:paraId="2DBDDE22"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2,227,218.18</w:t>
            </w:r>
          </w:p>
        </w:tc>
        <w:tc>
          <w:tcPr>
            <w:tcW w:w="1385" w:type="dxa"/>
            <w:tcBorders>
              <w:top w:val="single" w:sz="4" w:space="0" w:color="000000"/>
              <w:left w:val="nil"/>
              <w:bottom w:val="single" w:sz="4" w:space="0" w:color="000000"/>
              <w:right w:val="nil"/>
            </w:tcBorders>
            <w:tcMar>
              <w:top w:w="100" w:type="dxa"/>
              <w:left w:w="100" w:type="dxa"/>
              <w:bottom w:w="100" w:type="dxa"/>
              <w:right w:w="100" w:type="dxa"/>
            </w:tcMar>
          </w:tcPr>
          <w:p w14:paraId="67FF90C5"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-9.9848</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5261CE46"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0.0000</w:t>
            </w:r>
          </w:p>
        </w:tc>
      </w:tr>
      <w:tr w:rsidR="005D690E" w14:paraId="1AF61081" w14:textId="77777777">
        <w:trPr>
          <w:trHeight w:val="515"/>
        </w:trPr>
        <w:tc>
          <w:tcPr>
            <w:tcW w:w="1265" w:type="dxa"/>
            <w:tcBorders>
              <w:top w:val="single" w:sz="4" w:space="0" w:color="000000"/>
              <w:left w:val="nil"/>
              <w:bottom w:val="nil"/>
              <w:right w:val="nil"/>
            </w:tcBorders>
            <w:tcMar>
              <w:top w:w="100" w:type="dxa"/>
              <w:left w:w="100" w:type="dxa"/>
              <w:bottom w:w="100" w:type="dxa"/>
              <w:right w:w="100" w:type="dxa"/>
            </w:tcMar>
          </w:tcPr>
          <w:p w14:paraId="02F1787D"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KURS</w:t>
            </w:r>
          </w:p>
        </w:tc>
        <w:tc>
          <w:tcPr>
            <w:tcW w:w="1820" w:type="dxa"/>
            <w:tcBorders>
              <w:top w:val="single" w:sz="4" w:space="0" w:color="000000"/>
              <w:left w:val="nil"/>
              <w:bottom w:val="nil"/>
              <w:right w:val="nil"/>
            </w:tcBorders>
            <w:tcMar>
              <w:top w:w="100" w:type="dxa"/>
              <w:left w:w="100" w:type="dxa"/>
              <w:bottom w:w="100" w:type="dxa"/>
              <w:right w:w="100" w:type="dxa"/>
            </w:tcMar>
          </w:tcPr>
          <w:p w14:paraId="04A7FC2D"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1,796.03</w:t>
            </w:r>
          </w:p>
        </w:tc>
        <w:tc>
          <w:tcPr>
            <w:tcW w:w="1625" w:type="dxa"/>
            <w:tcBorders>
              <w:top w:val="single" w:sz="4" w:space="0" w:color="000000"/>
              <w:left w:val="nil"/>
              <w:bottom w:val="nil"/>
              <w:right w:val="nil"/>
            </w:tcBorders>
            <w:tcMar>
              <w:top w:w="100" w:type="dxa"/>
              <w:left w:w="100" w:type="dxa"/>
              <w:bottom w:w="100" w:type="dxa"/>
              <w:right w:w="100" w:type="dxa"/>
            </w:tcMar>
          </w:tcPr>
          <w:p w14:paraId="3B81F6A2"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145.80</w:t>
            </w:r>
          </w:p>
        </w:tc>
        <w:tc>
          <w:tcPr>
            <w:tcW w:w="1385" w:type="dxa"/>
            <w:tcBorders>
              <w:top w:val="single" w:sz="4" w:space="0" w:color="000000"/>
              <w:left w:val="nil"/>
              <w:bottom w:val="nil"/>
              <w:right w:val="nil"/>
            </w:tcBorders>
            <w:tcMar>
              <w:top w:w="100" w:type="dxa"/>
              <w:left w:w="100" w:type="dxa"/>
              <w:bottom w:w="100" w:type="dxa"/>
              <w:right w:w="100" w:type="dxa"/>
            </w:tcMar>
          </w:tcPr>
          <w:p w14:paraId="03DF7CBD"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12.3186</w:t>
            </w:r>
          </w:p>
        </w:tc>
        <w:tc>
          <w:tcPr>
            <w:tcW w:w="1595" w:type="dxa"/>
            <w:tcBorders>
              <w:top w:val="single" w:sz="4" w:space="0" w:color="000000"/>
              <w:left w:val="nil"/>
              <w:bottom w:val="nil"/>
              <w:right w:val="nil"/>
            </w:tcBorders>
            <w:tcMar>
              <w:top w:w="100" w:type="dxa"/>
              <w:left w:w="100" w:type="dxa"/>
              <w:bottom w:w="100" w:type="dxa"/>
              <w:right w:w="100" w:type="dxa"/>
            </w:tcMar>
          </w:tcPr>
          <w:p w14:paraId="2FC10553"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0.0000</w:t>
            </w:r>
          </w:p>
        </w:tc>
      </w:tr>
    </w:tbl>
    <w:p w14:paraId="6CE3E60C" w14:textId="77777777" w:rsidR="005D690E" w:rsidRDefault="005D690E">
      <w:pPr>
        <w:spacing w:line="240" w:lineRule="auto"/>
        <w:jc w:val="both"/>
        <w:rPr>
          <w:rFonts w:ascii="Book Antiqua" w:eastAsia="Book Antiqua" w:hAnsi="Book Antiqua" w:cs="Book Antiqua"/>
          <w:sz w:val="24"/>
          <w:szCs w:val="24"/>
        </w:rPr>
      </w:pPr>
    </w:p>
    <w:tbl>
      <w:tblPr>
        <w:tblStyle w:val="a3"/>
        <w:tblW w:w="33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50"/>
        <w:gridCol w:w="1235"/>
      </w:tblGrid>
      <w:tr w:rsidR="005D690E" w14:paraId="36E9A25A" w14:textId="77777777">
        <w:trPr>
          <w:trHeight w:val="515"/>
        </w:trPr>
        <w:tc>
          <w:tcPr>
            <w:tcW w:w="2150" w:type="dxa"/>
            <w:tcBorders>
              <w:top w:val="single" w:sz="4" w:space="0" w:color="000000"/>
              <w:left w:val="nil"/>
              <w:bottom w:val="single" w:sz="4" w:space="0" w:color="000000"/>
              <w:right w:val="nil"/>
            </w:tcBorders>
            <w:tcMar>
              <w:top w:w="100" w:type="dxa"/>
              <w:left w:w="100" w:type="dxa"/>
              <w:bottom w:w="100" w:type="dxa"/>
              <w:right w:w="100" w:type="dxa"/>
            </w:tcMar>
          </w:tcPr>
          <w:p w14:paraId="7DFD5B9B"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Model Statistics</w:t>
            </w:r>
          </w:p>
        </w:tc>
        <w:tc>
          <w:tcPr>
            <w:tcW w:w="1235" w:type="dxa"/>
            <w:tcBorders>
              <w:top w:val="single" w:sz="4" w:space="0" w:color="000000"/>
              <w:left w:val="nil"/>
              <w:bottom w:val="single" w:sz="4" w:space="0" w:color="000000"/>
              <w:right w:val="nil"/>
            </w:tcBorders>
            <w:tcMar>
              <w:top w:w="100" w:type="dxa"/>
              <w:left w:w="100" w:type="dxa"/>
              <w:bottom w:w="100" w:type="dxa"/>
              <w:right w:w="100" w:type="dxa"/>
            </w:tcMar>
          </w:tcPr>
          <w:p w14:paraId="7BB0563F"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Value</w:t>
            </w:r>
          </w:p>
        </w:tc>
      </w:tr>
      <w:tr w:rsidR="005D690E" w14:paraId="1B15C679" w14:textId="77777777">
        <w:trPr>
          <w:trHeight w:val="515"/>
        </w:trPr>
        <w:tc>
          <w:tcPr>
            <w:tcW w:w="2150" w:type="dxa"/>
            <w:tcBorders>
              <w:top w:val="single" w:sz="4" w:space="0" w:color="000000"/>
              <w:left w:val="nil"/>
              <w:bottom w:val="single" w:sz="4" w:space="0" w:color="000000"/>
              <w:right w:val="nil"/>
            </w:tcBorders>
            <w:tcMar>
              <w:top w:w="100" w:type="dxa"/>
              <w:left w:w="100" w:type="dxa"/>
              <w:bottom w:w="100" w:type="dxa"/>
              <w:right w:w="100" w:type="dxa"/>
            </w:tcMar>
          </w:tcPr>
          <w:p w14:paraId="3C062D17"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R²</w:t>
            </w:r>
          </w:p>
        </w:tc>
        <w:tc>
          <w:tcPr>
            <w:tcW w:w="1235" w:type="dxa"/>
            <w:tcBorders>
              <w:top w:val="single" w:sz="4" w:space="0" w:color="000000"/>
              <w:left w:val="nil"/>
              <w:bottom w:val="single" w:sz="4" w:space="0" w:color="000000"/>
              <w:right w:val="nil"/>
            </w:tcBorders>
            <w:tcMar>
              <w:top w:w="100" w:type="dxa"/>
              <w:left w:w="100" w:type="dxa"/>
              <w:bottom w:w="100" w:type="dxa"/>
              <w:right w:w="100" w:type="dxa"/>
            </w:tcMar>
          </w:tcPr>
          <w:p w14:paraId="53FC8F64"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0.6843</w:t>
            </w:r>
          </w:p>
        </w:tc>
      </w:tr>
      <w:tr w:rsidR="005D690E" w14:paraId="3E797A24" w14:textId="77777777">
        <w:trPr>
          <w:trHeight w:val="515"/>
        </w:trPr>
        <w:tc>
          <w:tcPr>
            <w:tcW w:w="2150" w:type="dxa"/>
            <w:tcBorders>
              <w:top w:val="single" w:sz="4" w:space="0" w:color="000000"/>
              <w:left w:val="nil"/>
              <w:bottom w:val="single" w:sz="4" w:space="0" w:color="000000"/>
              <w:right w:val="nil"/>
            </w:tcBorders>
            <w:tcMar>
              <w:top w:w="100" w:type="dxa"/>
              <w:left w:w="100" w:type="dxa"/>
              <w:bottom w:w="100" w:type="dxa"/>
              <w:right w:w="100" w:type="dxa"/>
            </w:tcMar>
          </w:tcPr>
          <w:p w14:paraId="2D6BCCF3"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Adjusted R²</w:t>
            </w:r>
          </w:p>
        </w:tc>
        <w:tc>
          <w:tcPr>
            <w:tcW w:w="1235" w:type="dxa"/>
            <w:tcBorders>
              <w:top w:val="single" w:sz="4" w:space="0" w:color="000000"/>
              <w:left w:val="nil"/>
              <w:bottom w:val="single" w:sz="4" w:space="0" w:color="000000"/>
              <w:right w:val="nil"/>
            </w:tcBorders>
            <w:tcMar>
              <w:top w:w="100" w:type="dxa"/>
              <w:left w:w="100" w:type="dxa"/>
              <w:bottom w:w="100" w:type="dxa"/>
              <w:right w:w="100" w:type="dxa"/>
            </w:tcMar>
          </w:tcPr>
          <w:p w14:paraId="1BA25A93"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0.6798</w:t>
            </w:r>
          </w:p>
        </w:tc>
      </w:tr>
      <w:tr w:rsidR="005D690E" w14:paraId="7CD297E2" w14:textId="77777777">
        <w:trPr>
          <w:trHeight w:val="515"/>
        </w:trPr>
        <w:tc>
          <w:tcPr>
            <w:tcW w:w="2150" w:type="dxa"/>
            <w:tcBorders>
              <w:top w:val="single" w:sz="4" w:space="0" w:color="000000"/>
              <w:left w:val="nil"/>
              <w:bottom w:val="single" w:sz="4" w:space="0" w:color="000000"/>
              <w:right w:val="nil"/>
            </w:tcBorders>
            <w:tcMar>
              <w:top w:w="100" w:type="dxa"/>
              <w:left w:w="100" w:type="dxa"/>
              <w:bottom w:w="100" w:type="dxa"/>
              <w:right w:w="100" w:type="dxa"/>
            </w:tcMar>
          </w:tcPr>
          <w:p w14:paraId="554F8E85"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F-statistic</w:t>
            </w:r>
          </w:p>
        </w:tc>
        <w:tc>
          <w:tcPr>
            <w:tcW w:w="1235" w:type="dxa"/>
            <w:tcBorders>
              <w:top w:val="single" w:sz="4" w:space="0" w:color="000000"/>
              <w:left w:val="nil"/>
              <w:bottom w:val="single" w:sz="4" w:space="0" w:color="000000"/>
              <w:right w:val="nil"/>
            </w:tcBorders>
            <w:tcMar>
              <w:top w:w="100" w:type="dxa"/>
              <w:left w:w="100" w:type="dxa"/>
              <w:bottom w:w="100" w:type="dxa"/>
              <w:right w:w="100" w:type="dxa"/>
            </w:tcMar>
          </w:tcPr>
          <w:p w14:paraId="681B5D2E"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151.7472</w:t>
            </w:r>
          </w:p>
        </w:tc>
      </w:tr>
      <w:tr w:rsidR="005D690E" w14:paraId="6463558E" w14:textId="77777777">
        <w:trPr>
          <w:trHeight w:val="515"/>
        </w:trPr>
        <w:tc>
          <w:tcPr>
            <w:tcW w:w="2150" w:type="dxa"/>
            <w:tcBorders>
              <w:top w:val="single" w:sz="4" w:space="0" w:color="000000"/>
              <w:left w:val="nil"/>
              <w:bottom w:val="nil"/>
              <w:right w:val="nil"/>
            </w:tcBorders>
            <w:tcMar>
              <w:top w:w="100" w:type="dxa"/>
              <w:left w:w="100" w:type="dxa"/>
              <w:bottom w:w="100" w:type="dxa"/>
              <w:right w:w="100" w:type="dxa"/>
            </w:tcMar>
          </w:tcPr>
          <w:p w14:paraId="3619A1B4"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Prob(F)</w:t>
            </w:r>
          </w:p>
        </w:tc>
        <w:tc>
          <w:tcPr>
            <w:tcW w:w="1235" w:type="dxa"/>
            <w:tcBorders>
              <w:top w:val="single" w:sz="4" w:space="0" w:color="000000"/>
              <w:left w:val="nil"/>
              <w:bottom w:val="nil"/>
              <w:right w:val="nil"/>
            </w:tcBorders>
            <w:tcMar>
              <w:top w:w="100" w:type="dxa"/>
              <w:left w:w="100" w:type="dxa"/>
              <w:bottom w:w="100" w:type="dxa"/>
              <w:right w:w="100" w:type="dxa"/>
            </w:tcMar>
          </w:tcPr>
          <w:p w14:paraId="105D3FC0"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0.0000</w:t>
            </w:r>
          </w:p>
        </w:tc>
      </w:tr>
    </w:tbl>
    <w:p w14:paraId="51D61A40" w14:textId="77777777" w:rsidR="005D690E" w:rsidRDefault="00000000">
      <w:pPr>
        <w:spacing w:before="240" w:after="24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Source: Author's calculation using EViews</w:t>
      </w:r>
    </w:p>
    <w:p w14:paraId="1DB9F825" w14:textId="77777777" w:rsidR="005D690E" w:rsidRDefault="00000000">
      <w:pPr>
        <w:pStyle w:val="Heading2"/>
        <w:keepNext w:val="0"/>
        <w:keepLines w:val="0"/>
        <w:spacing w:line="240" w:lineRule="auto"/>
        <w:jc w:val="both"/>
        <w:rPr>
          <w:rFonts w:ascii="Book Antiqua" w:eastAsia="Book Antiqua" w:hAnsi="Book Antiqua" w:cs="Book Antiqua"/>
          <w:sz w:val="24"/>
          <w:szCs w:val="24"/>
        </w:rPr>
      </w:pPr>
      <w:bookmarkStart w:id="4" w:name="_6da4knaa6ay1" w:colFirst="0" w:colLast="0"/>
      <w:bookmarkEnd w:id="4"/>
      <w:r>
        <w:rPr>
          <w:rFonts w:ascii="Book Antiqua" w:eastAsia="Book Antiqua" w:hAnsi="Book Antiqua" w:cs="Book Antiqua"/>
          <w:sz w:val="24"/>
          <w:szCs w:val="24"/>
        </w:rPr>
        <w:t>Diagnostic Tests</w:t>
      </w:r>
    </w:p>
    <w:p w14:paraId="027176B1"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Table 4 reports the results of the classical diagnostic tests. The Jarque–Bera test rejects the null hypothesis of normality. The Breusch–Godfrey test indicates the presence of autocorrelation, while the Breusch–Pagan test suggests heteroskedasticity in the residuals.</w:t>
      </w:r>
    </w:p>
    <w:p w14:paraId="55E31035" w14:textId="77777777" w:rsidR="005D690E" w:rsidRDefault="00000000">
      <w:pPr>
        <w:spacing w:before="240" w:after="240" w:line="240" w:lineRule="auto"/>
        <w:jc w:val="both"/>
        <w:rPr>
          <w:rFonts w:ascii="Book Antiqua" w:eastAsia="Book Antiqua" w:hAnsi="Book Antiqua" w:cs="Book Antiqua"/>
          <w:b/>
          <w:bCs/>
          <w:sz w:val="24"/>
          <w:szCs w:val="24"/>
        </w:rPr>
      </w:pPr>
      <w:r>
        <w:rPr>
          <w:rFonts w:ascii="Book Antiqua" w:eastAsia="Book Antiqua" w:hAnsi="Book Antiqua" w:cs="Book Antiqua"/>
          <w:b/>
          <w:bCs/>
          <w:sz w:val="24"/>
          <w:szCs w:val="24"/>
        </w:rPr>
        <w:t>Table 4. Diagnostic Test Results</w:t>
      </w:r>
    </w:p>
    <w:tbl>
      <w:tblPr>
        <w:tblStyle w:val="a4"/>
        <w:tblW w:w="88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45"/>
        <w:gridCol w:w="1220"/>
        <w:gridCol w:w="1595"/>
        <w:gridCol w:w="3380"/>
      </w:tblGrid>
      <w:tr w:rsidR="005D690E" w14:paraId="3DEF0142" w14:textId="77777777">
        <w:trPr>
          <w:trHeight w:val="515"/>
        </w:trPr>
        <w:tc>
          <w:tcPr>
            <w:tcW w:w="2645" w:type="dxa"/>
            <w:tcBorders>
              <w:top w:val="single" w:sz="4" w:space="0" w:color="000000"/>
              <w:left w:val="nil"/>
              <w:bottom w:val="single" w:sz="4" w:space="0" w:color="000000"/>
              <w:right w:val="nil"/>
            </w:tcBorders>
            <w:tcMar>
              <w:top w:w="100" w:type="dxa"/>
              <w:left w:w="100" w:type="dxa"/>
              <w:bottom w:w="100" w:type="dxa"/>
              <w:right w:w="100" w:type="dxa"/>
            </w:tcMar>
          </w:tcPr>
          <w:p w14:paraId="02F1AC08"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Test</w:t>
            </w:r>
          </w:p>
        </w:tc>
        <w:tc>
          <w:tcPr>
            <w:tcW w:w="1220" w:type="dxa"/>
            <w:tcBorders>
              <w:top w:val="single" w:sz="4" w:space="0" w:color="000000"/>
              <w:left w:val="nil"/>
              <w:bottom w:val="single" w:sz="4" w:space="0" w:color="000000"/>
              <w:right w:val="nil"/>
            </w:tcBorders>
            <w:tcMar>
              <w:top w:w="100" w:type="dxa"/>
              <w:left w:w="100" w:type="dxa"/>
              <w:bottom w:w="100" w:type="dxa"/>
              <w:right w:w="100" w:type="dxa"/>
            </w:tcMar>
          </w:tcPr>
          <w:p w14:paraId="0C61732B"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Statistic</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118BFE4F"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Probability</w:t>
            </w:r>
          </w:p>
        </w:tc>
        <w:tc>
          <w:tcPr>
            <w:tcW w:w="3380" w:type="dxa"/>
            <w:tcBorders>
              <w:top w:val="single" w:sz="4" w:space="0" w:color="000000"/>
              <w:left w:val="nil"/>
              <w:bottom w:val="single" w:sz="4" w:space="0" w:color="000000"/>
              <w:right w:val="nil"/>
            </w:tcBorders>
            <w:tcMar>
              <w:top w:w="100" w:type="dxa"/>
              <w:left w:w="100" w:type="dxa"/>
              <w:bottom w:w="100" w:type="dxa"/>
              <w:right w:w="100" w:type="dxa"/>
            </w:tcMar>
          </w:tcPr>
          <w:p w14:paraId="42A7E452"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Decision</w:t>
            </w:r>
          </w:p>
        </w:tc>
      </w:tr>
      <w:tr w:rsidR="005D690E" w14:paraId="35E39AD9" w14:textId="77777777">
        <w:trPr>
          <w:trHeight w:val="515"/>
        </w:trPr>
        <w:tc>
          <w:tcPr>
            <w:tcW w:w="2645" w:type="dxa"/>
            <w:tcBorders>
              <w:top w:val="single" w:sz="4" w:space="0" w:color="000000"/>
              <w:left w:val="nil"/>
              <w:bottom w:val="single" w:sz="4" w:space="0" w:color="000000"/>
              <w:right w:val="nil"/>
            </w:tcBorders>
            <w:tcMar>
              <w:top w:w="100" w:type="dxa"/>
              <w:left w:w="100" w:type="dxa"/>
              <w:bottom w:w="100" w:type="dxa"/>
              <w:right w:w="100" w:type="dxa"/>
            </w:tcMar>
          </w:tcPr>
          <w:p w14:paraId="15100C82"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Jarque–Bera</w:t>
            </w:r>
          </w:p>
        </w:tc>
        <w:tc>
          <w:tcPr>
            <w:tcW w:w="1220" w:type="dxa"/>
            <w:tcBorders>
              <w:top w:val="single" w:sz="4" w:space="0" w:color="000000"/>
              <w:left w:val="nil"/>
              <w:bottom w:val="single" w:sz="4" w:space="0" w:color="000000"/>
              <w:right w:val="nil"/>
            </w:tcBorders>
            <w:tcMar>
              <w:top w:w="100" w:type="dxa"/>
              <w:left w:w="100" w:type="dxa"/>
              <w:bottom w:w="100" w:type="dxa"/>
              <w:right w:w="100" w:type="dxa"/>
            </w:tcMar>
          </w:tcPr>
          <w:p w14:paraId="23BC8E4D"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47.7921</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13ABE6DC"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0.0000</w:t>
            </w:r>
          </w:p>
        </w:tc>
        <w:tc>
          <w:tcPr>
            <w:tcW w:w="3380" w:type="dxa"/>
            <w:tcBorders>
              <w:top w:val="single" w:sz="4" w:space="0" w:color="000000"/>
              <w:left w:val="nil"/>
              <w:bottom w:val="single" w:sz="4" w:space="0" w:color="000000"/>
              <w:right w:val="nil"/>
            </w:tcBorders>
            <w:tcMar>
              <w:top w:w="100" w:type="dxa"/>
              <w:left w:w="100" w:type="dxa"/>
              <w:bottom w:w="100" w:type="dxa"/>
              <w:right w:w="100" w:type="dxa"/>
            </w:tcMar>
          </w:tcPr>
          <w:p w14:paraId="44C432F4"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Non-normal residuals</w:t>
            </w:r>
          </w:p>
        </w:tc>
      </w:tr>
      <w:tr w:rsidR="005D690E" w14:paraId="6F34A9A6" w14:textId="77777777">
        <w:trPr>
          <w:trHeight w:val="515"/>
        </w:trPr>
        <w:tc>
          <w:tcPr>
            <w:tcW w:w="2645" w:type="dxa"/>
            <w:tcBorders>
              <w:top w:val="single" w:sz="4" w:space="0" w:color="000000"/>
              <w:left w:val="nil"/>
              <w:bottom w:val="single" w:sz="4" w:space="0" w:color="000000"/>
              <w:right w:val="nil"/>
            </w:tcBorders>
            <w:tcMar>
              <w:top w:w="100" w:type="dxa"/>
              <w:left w:w="100" w:type="dxa"/>
              <w:bottom w:w="100" w:type="dxa"/>
              <w:right w:w="100" w:type="dxa"/>
            </w:tcMar>
          </w:tcPr>
          <w:p w14:paraId="77B8595C"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Breusch–Godfrey LM</w:t>
            </w:r>
          </w:p>
        </w:tc>
        <w:tc>
          <w:tcPr>
            <w:tcW w:w="1220" w:type="dxa"/>
            <w:tcBorders>
              <w:top w:val="single" w:sz="4" w:space="0" w:color="000000"/>
              <w:left w:val="nil"/>
              <w:bottom w:val="single" w:sz="4" w:space="0" w:color="000000"/>
              <w:right w:val="nil"/>
            </w:tcBorders>
            <w:tcMar>
              <w:top w:w="100" w:type="dxa"/>
              <w:left w:w="100" w:type="dxa"/>
              <w:bottom w:w="100" w:type="dxa"/>
              <w:right w:w="100" w:type="dxa"/>
            </w:tcMar>
          </w:tcPr>
          <w:p w14:paraId="76491927"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32.6950</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6D56DB63"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0.0000</w:t>
            </w:r>
          </w:p>
        </w:tc>
        <w:tc>
          <w:tcPr>
            <w:tcW w:w="3380" w:type="dxa"/>
            <w:tcBorders>
              <w:top w:val="single" w:sz="4" w:space="0" w:color="000000"/>
              <w:left w:val="nil"/>
              <w:bottom w:val="single" w:sz="4" w:space="0" w:color="000000"/>
              <w:right w:val="nil"/>
            </w:tcBorders>
            <w:tcMar>
              <w:top w:w="100" w:type="dxa"/>
              <w:left w:w="100" w:type="dxa"/>
              <w:bottom w:w="100" w:type="dxa"/>
              <w:right w:w="100" w:type="dxa"/>
            </w:tcMar>
          </w:tcPr>
          <w:p w14:paraId="382B464C"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Autocorrelation detected</w:t>
            </w:r>
          </w:p>
        </w:tc>
      </w:tr>
      <w:tr w:rsidR="005D690E" w14:paraId="77337D1E" w14:textId="77777777">
        <w:trPr>
          <w:trHeight w:val="515"/>
        </w:trPr>
        <w:tc>
          <w:tcPr>
            <w:tcW w:w="2645" w:type="dxa"/>
            <w:tcBorders>
              <w:top w:val="single" w:sz="4" w:space="0" w:color="000000"/>
              <w:left w:val="nil"/>
              <w:bottom w:val="single" w:sz="4" w:space="0" w:color="000000"/>
              <w:right w:val="nil"/>
            </w:tcBorders>
            <w:tcMar>
              <w:top w:w="100" w:type="dxa"/>
              <w:left w:w="100" w:type="dxa"/>
              <w:bottom w:w="100" w:type="dxa"/>
              <w:right w:w="100" w:type="dxa"/>
            </w:tcMar>
          </w:tcPr>
          <w:p w14:paraId="525D2F8D"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Durbin–Watson</w:t>
            </w:r>
          </w:p>
        </w:tc>
        <w:tc>
          <w:tcPr>
            <w:tcW w:w="1220" w:type="dxa"/>
            <w:tcBorders>
              <w:top w:val="single" w:sz="4" w:space="0" w:color="000000"/>
              <w:left w:val="nil"/>
              <w:bottom w:val="single" w:sz="4" w:space="0" w:color="000000"/>
              <w:right w:val="nil"/>
            </w:tcBorders>
            <w:tcMar>
              <w:top w:w="100" w:type="dxa"/>
              <w:left w:w="100" w:type="dxa"/>
              <w:bottom w:w="100" w:type="dxa"/>
              <w:right w:w="100" w:type="dxa"/>
            </w:tcMar>
          </w:tcPr>
          <w:p w14:paraId="5BF623F0"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0.6500</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0CCDA7BA"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w:t>
            </w:r>
          </w:p>
        </w:tc>
        <w:tc>
          <w:tcPr>
            <w:tcW w:w="3380" w:type="dxa"/>
            <w:tcBorders>
              <w:top w:val="single" w:sz="4" w:space="0" w:color="000000"/>
              <w:left w:val="nil"/>
              <w:bottom w:val="single" w:sz="4" w:space="0" w:color="000000"/>
              <w:right w:val="nil"/>
            </w:tcBorders>
            <w:tcMar>
              <w:top w:w="100" w:type="dxa"/>
              <w:left w:w="100" w:type="dxa"/>
              <w:bottom w:w="100" w:type="dxa"/>
              <w:right w:w="100" w:type="dxa"/>
            </w:tcMar>
          </w:tcPr>
          <w:p w14:paraId="48A82F82"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Positive autocorrelation</w:t>
            </w:r>
          </w:p>
        </w:tc>
      </w:tr>
      <w:tr w:rsidR="005D690E" w14:paraId="007989A9" w14:textId="77777777">
        <w:trPr>
          <w:trHeight w:val="515"/>
        </w:trPr>
        <w:tc>
          <w:tcPr>
            <w:tcW w:w="2645" w:type="dxa"/>
            <w:tcBorders>
              <w:top w:val="single" w:sz="4" w:space="0" w:color="000000"/>
              <w:left w:val="nil"/>
              <w:bottom w:val="nil"/>
              <w:right w:val="nil"/>
            </w:tcBorders>
            <w:tcMar>
              <w:top w:w="100" w:type="dxa"/>
              <w:left w:w="100" w:type="dxa"/>
              <w:bottom w:w="100" w:type="dxa"/>
              <w:right w:w="100" w:type="dxa"/>
            </w:tcMar>
          </w:tcPr>
          <w:p w14:paraId="0D53E183"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lastRenderedPageBreak/>
              <w:t>Breusch–Pagan</w:t>
            </w:r>
          </w:p>
        </w:tc>
        <w:tc>
          <w:tcPr>
            <w:tcW w:w="1220" w:type="dxa"/>
            <w:tcBorders>
              <w:top w:val="single" w:sz="4" w:space="0" w:color="000000"/>
              <w:left w:val="nil"/>
              <w:bottom w:val="nil"/>
              <w:right w:val="nil"/>
            </w:tcBorders>
            <w:tcMar>
              <w:top w:w="100" w:type="dxa"/>
              <w:left w:w="100" w:type="dxa"/>
              <w:bottom w:w="100" w:type="dxa"/>
              <w:right w:w="100" w:type="dxa"/>
            </w:tcMar>
          </w:tcPr>
          <w:p w14:paraId="65FF0A92"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6.0809</w:t>
            </w:r>
          </w:p>
        </w:tc>
        <w:tc>
          <w:tcPr>
            <w:tcW w:w="1595" w:type="dxa"/>
            <w:tcBorders>
              <w:top w:val="single" w:sz="4" w:space="0" w:color="000000"/>
              <w:left w:val="nil"/>
              <w:bottom w:val="nil"/>
              <w:right w:val="nil"/>
            </w:tcBorders>
            <w:tcMar>
              <w:top w:w="100" w:type="dxa"/>
              <w:left w:w="100" w:type="dxa"/>
              <w:bottom w:w="100" w:type="dxa"/>
              <w:right w:w="100" w:type="dxa"/>
            </w:tcMar>
          </w:tcPr>
          <w:p w14:paraId="044574C9"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0.0137</w:t>
            </w:r>
          </w:p>
        </w:tc>
        <w:tc>
          <w:tcPr>
            <w:tcW w:w="3380" w:type="dxa"/>
            <w:tcBorders>
              <w:top w:val="single" w:sz="4" w:space="0" w:color="000000"/>
              <w:left w:val="nil"/>
              <w:bottom w:val="nil"/>
              <w:right w:val="nil"/>
            </w:tcBorders>
            <w:tcMar>
              <w:top w:w="100" w:type="dxa"/>
              <w:left w:w="100" w:type="dxa"/>
              <w:bottom w:w="100" w:type="dxa"/>
              <w:right w:w="100" w:type="dxa"/>
            </w:tcMar>
          </w:tcPr>
          <w:p w14:paraId="779DEC27"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Heteroskedasticity detected</w:t>
            </w:r>
          </w:p>
        </w:tc>
      </w:tr>
    </w:tbl>
    <w:p w14:paraId="51A2C4AD" w14:textId="77777777" w:rsidR="005D690E" w:rsidRDefault="00000000">
      <w:pPr>
        <w:spacing w:before="240" w:after="24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Source: Author's calculation using EViews</w:t>
      </w:r>
    </w:p>
    <w:p w14:paraId="6C600819" w14:textId="77777777" w:rsidR="005D690E" w:rsidRDefault="00000000">
      <w:pPr>
        <w:pStyle w:val="Heading2"/>
        <w:keepNext w:val="0"/>
        <w:keepLines w:val="0"/>
        <w:spacing w:line="240" w:lineRule="auto"/>
        <w:jc w:val="both"/>
        <w:rPr>
          <w:rFonts w:ascii="Book Antiqua" w:eastAsia="Book Antiqua" w:hAnsi="Book Antiqua" w:cs="Book Antiqua"/>
          <w:sz w:val="24"/>
          <w:szCs w:val="24"/>
        </w:rPr>
      </w:pPr>
      <w:bookmarkStart w:id="5" w:name="_8g65zdyj9ngn" w:colFirst="0" w:colLast="0"/>
      <w:bookmarkEnd w:id="5"/>
      <w:r>
        <w:rPr>
          <w:rFonts w:ascii="Book Antiqua" w:eastAsia="Book Antiqua" w:hAnsi="Book Antiqua" w:cs="Book Antiqua"/>
          <w:sz w:val="24"/>
          <w:szCs w:val="24"/>
        </w:rPr>
        <w:t>Robustness Analysis</w:t>
      </w:r>
    </w:p>
    <w:p w14:paraId="3B2397ED"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To address potential non-stationarity issues, the regression model was re-estimated using first-differenced variables. The results reveal that the coefficient of the differenced exchange rate variable becomes negative and statistically significant at the 5 percent level.</w:t>
      </w:r>
    </w:p>
    <w:p w14:paraId="5F8827DA" w14:textId="77777777" w:rsidR="005D690E" w:rsidRDefault="00000000">
      <w:pPr>
        <w:spacing w:before="240" w:after="240" w:line="240" w:lineRule="auto"/>
        <w:jc w:val="both"/>
        <w:rPr>
          <w:rFonts w:ascii="Book Antiqua" w:eastAsia="Book Antiqua" w:hAnsi="Book Antiqua" w:cs="Book Antiqua"/>
          <w:b/>
          <w:bCs/>
          <w:sz w:val="24"/>
          <w:szCs w:val="24"/>
        </w:rPr>
      </w:pPr>
      <w:r>
        <w:rPr>
          <w:rFonts w:ascii="Book Antiqua" w:eastAsia="Book Antiqua" w:hAnsi="Book Antiqua" w:cs="Book Antiqua"/>
          <w:b/>
          <w:bCs/>
          <w:sz w:val="24"/>
          <w:szCs w:val="24"/>
        </w:rPr>
        <w:t>Table 5. Regression Results Using First Differences</w:t>
      </w:r>
    </w:p>
    <w:tbl>
      <w:tblPr>
        <w:tblStyle w:val="a5"/>
        <w:tblW w:w="75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65"/>
        <w:gridCol w:w="1535"/>
        <w:gridCol w:w="1595"/>
        <w:gridCol w:w="1595"/>
        <w:gridCol w:w="1595"/>
      </w:tblGrid>
      <w:tr w:rsidR="005D690E" w14:paraId="64987477" w14:textId="77777777">
        <w:trPr>
          <w:trHeight w:val="515"/>
        </w:trPr>
        <w:tc>
          <w:tcPr>
            <w:tcW w:w="1265" w:type="dxa"/>
            <w:tcBorders>
              <w:top w:val="single" w:sz="4" w:space="0" w:color="000000"/>
              <w:left w:val="nil"/>
              <w:bottom w:val="single" w:sz="4" w:space="0" w:color="000000"/>
              <w:right w:val="nil"/>
            </w:tcBorders>
            <w:tcMar>
              <w:top w:w="100" w:type="dxa"/>
              <w:left w:w="100" w:type="dxa"/>
              <w:bottom w:w="100" w:type="dxa"/>
              <w:right w:w="100" w:type="dxa"/>
            </w:tcMar>
          </w:tcPr>
          <w:p w14:paraId="056DBE59"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Variable</w:t>
            </w:r>
          </w:p>
        </w:tc>
        <w:tc>
          <w:tcPr>
            <w:tcW w:w="1535" w:type="dxa"/>
            <w:tcBorders>
              <w:top w:val="single" w:sz="4" w:space="0" w:color="000000"/>
              <w:left w:val="nil"/>
              <w:bottom w:val="single" w:sz="4" w:space="0" w:color="000000"/>
              <w:right w:val="nil"/>
            </w:tcBorders>
            <w:tcMar>
              <w:top w:w="100" w:type="dxa"/>
              <w:left w:w="100" w:type="dxa"/>
              <w:bottom w:w="100" w:type="dxa"/>
              <w:right w:w="100" w:type="dxa"/>
            </w:tcMar>
          </w:tcPr>
          <w:p w14:paraId="5E2C223D"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Coefficient</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5E2A6A0E"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Probability</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1C338A82"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Model Statistics</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00555487"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Value</w:t>
            </w:r>
          </w:p>
        </w:tc>
      </w:tr>
      <w:tr w:rsidR="005D690E" w14:paraId="4F985219" w14:textId="77777777">
        <w:trPr>
          <w:trHeight w:val="515"/>
        </w:trPr>
        <w:tc>
          <w:tcPr>
            <w:tcW w:w="1265" w:type="dxa"/>
            <w:tcBorders>
              <w:top w:val="single" w:sz="4" w:space="0" w:color="000000"/>
              <w:left w:val="nil"/>
              <w:bottom w:val="single" w:sz="4" w:space="0" w:color="000000"/>
              <w:right w:val="nil"/>
            </w:tcBorders>
            <w:tcMar>
              <w:top w:w="100" w:type="dxa"/>
              <w:left w:w="100" w:type="dxa"/>
              <w:bottom w:w="100" w:type="dxa"/>
              <w:right w:w="100" w:type="dxa"/>
            </w:tcMar>
          </w:tcPr>
          <w:p w14:paraId="47B8E6A1"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Constant</w:t>
            </w:r>
          </w:p>
        </w:tc>
        <w:tc>
          <w:tcPr>
            <w:tcW w:w="1535" w:type="dxa"/>
            <w:tcBorders>
              <w:top w:val="single" w:sz="4" w:space="0" w:color="000000"/>
              <w:left w:val="nil"/>
              <w:bottom w:val="single" w:sz="4" w:space="0" w:color="000000"/>
              <w:right w:val="nil"/>
            </w:tcBorders>
            <w:tcMar>
              <w:top w:w="100" w:type="dxa"/>
              <w:left w:w="100" w:type="dxa"/>
              <w:bottom w:w="100" w:type="dxa"/>
              <w:right w:w="100" w:type="dxa"/>
            </w:tcMar>
          </w:tcPr>
          <w:p w14:paraId="1B7477D8"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85,352.10</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5E266CA3"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03229AE3"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R²</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619C98A1"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0.0689</w:t>
            </w:r>
          </w:p>
        </w:tc>
      </w:tr>
      <w:tr w:rsidR="005D690E" w14:paraId="5D3E6FF5" w14:textId="77777777">
        <w:trPr>
          <w:trHeight w:val="515"/>
        </w:trPr>
        <w:tc>
          <w:tcPr>
            <w:tcW w:w="1265" w:type="dxa"/>
            <w:tcBorders>
              <w:top w:val="single" w:sz="4" w:space="0" w:color="000000"/>
              <w:left w:val="nil"/>
              <w:bottom w:val="nil"/>
              <w:right w:val="nil"/>
            </w:tcBorders>
            <w:tcMar>
              <w:top w:w="100" w:type="dxa"/>
              <w:left w:w="100" w:type="dxa"/>
              <w:bottom w:w="100" w:type="dxa"/>
              <w:right w:w="100" w:type="dxa"/>
            </w:tcMar>
          </w:tcPr>
          <w:p w14:paraId="2192725C"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D(KURS)</w:t>
            </w:r>
          </w:p>
        </w:tc>
        <w:tc>
          <w:tcPr>
            <w:tcW w:w="1535" w:type="dxa"/>
            <w:tcBorders>
              <w:top w:val="single" w:sz="4" w:space="0" w:color="000000"/>
              <w:left w:val="nil"/>
              <w:bottom w:val="nil"/>
              <w:right w:val="nil"/>
            </w:tcBorders>
            <w:tcMar>
              <w:top w:w="100" w:type="dxa"/>
              <w:left w:w="100" w:type="dxa"/>
              <w:bottom w:w="100" w:type="dxa"/>
              <w:right w:w="100" w:type="dxa"/>
            </w:tcMar>
          </w:tcPr>
          <w:p w14:paraId="0A39EEC5"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-177.18</w:t>
            </w:r>
          </w:p>
        </w:tc>
        <w:tc>
          <w:tcPr>
            <w:tcW w:w="1595" w:type="dxa"/>
            <w:tcBorders>
              <w:top w:val="single" w:sz="4" w:space="0" w:color="000000"/>
              <w:left w:val="nil"/>
              <w:bottom w:val="nil"/>
              <w:right w:val="nil"/>
            </w:tcBorders>
            <w:tcMar>
              <w:top w:w="100" w:type="dxa"/>
              <w:left w:w="100" w:type="dxa"/>
              <w:bottom w:w="100" w:type="dxa"/>
              <w:right w:w="100" w:type="dxa"/>
            </w:tcMar>
          </w:tcPr>
          <w:p w14:paraId="6B89A9A5"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0.0270</w:t>
            </w:r>
          </w:p>
        </w:tc>
        <w:tc>
          <w:tcPr>
            <w:tcW w:w="1595" w:type="dxa"/>
            <w:tcBorders>
              <w:top w:val="single" w:sz="4" w:space="0" w:color="000000"/>
              <w:left w:val="nil"/>
              <w:bottom w:val="nil"/>
              <w:right w:val="nil"/>
            </w:tcBorders>
            <w:tcMar>
              <w:top w:w="100" w:type="dxa"/>
              <w:left w:w="100" w:type="dxa"/>
              <w:bottom w:w="100" w:type="dxa"/>
              <w:right w:w="100" w:type="dxa"/>
            </w:tcMar>
          </w:tcPr>
          <w:p w14:paraId="1B3E13FB"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Prob(F)</w:t>
            </w:r>
          </w:p>
        </w:tc>
        <w:tc>
          <w:tcPr>
            <w:tcW w:w="1595" w:type="dxa"/>
            <w:tcBorders>
              <w:top w:val="single" w:sz="4" w:space="0" w:color="000000"/>
              <w:left w:val="nil"/>
              <w:bottom w:val="nil"/>
              <w:right w:val="nil"/>
            </w:tcBorders>
            <w:tcMar>
              <w:top w:w="100" w:type="dxa"/>
              <w:left w:w="100" w:type="dxa"/>
              <w:bottom w:w="100" w:type="dxa"/>
              <w:right w:w="100" w:type="dxa"/>
            </w:tcMar>
          </w:tcPr>
          <w:p w14:paraId="37915389"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0.0270</w:t>
            </w:r>
          </w:p>
        </w:tc>
      </w:tr>
    </w:tbl>
    <w:p w14:paraId="3F59E4E4" w14:textId="77777777" w:rsidR="005D690E" w:rsidRDefault="00000000">
      <w:pPr>
        <w:spacing w:before="240" w:after="24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Source: Author's calculation using EViews</w:t>
      </w:r>
    </w:p>
    <w:p w14:paraId="76AEE554" w14:textId="77777777" w:rsidR="005D690E" w:rsidRDefault="00000000">
      <w:pPr>
        <w:pStyle w:val="Heading2"/>
        <w:keepNext w:val="0"/>
        <w:keepLines w:val="0"/>
        <w:spacing w:line="240" w:lineRule="auto"/>
        <w:jc w:val="both"/>
        <w:rPr>
          <w:rFonts w:ascii="Book Antiqua" w:eastAsia="Book Antiqua" w:hAnsi="Book Antiqua" w:cs="Book Antiqua"/>
          <w:sz w:val="24"/>
          <w:szCs w:val="24"/>
        </w:rPr>
      </w:pPr>
      <w:bookmarkStart w:id="6" w:name="_pndecunozjvt" w:colFirst="0" w:colLast="0"/>
      <w:bookmarkEnd w:id="6"/>
      <w:r>
        <w:rPr>
          <w:rFonts w:ascii="Book Antiqua" w:eastAsia="Book Antiqua" w:hAnsi="Book Antiqua" w:cs="Book Antiqua"/>
          <w:sz w:val="24"/>
          <w:szCs w:val="24"/>
        </w:rPr>
        <w:t>Cointegration Test</w:t>
      </w:r>
    </w:p>
    <w:p w14:paraId="2EA0B3F0"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The Engle–Granger cointegration test was performed to determine whether a long-run equilibrium relationship exists between ISSI and the exchange rate. The results indicate a statistically significant cointegration relationship at the 5 percent significance level.</w:t>
      </w:r>
    </w:p>
    <w:p w14:paraId="6623D1BB" w14:textId="77777777" w:rsidR="005D690E" w:rsidRDefault="005D690E">
      <w:pPr>
        <w:spacing w:before="240" w:after="240" w:line="240" w:lineRule="auto"/>
        <w:jc w:val="both"/>
        <w:rPr>
          <w:rFonts w:ascii="Book Antiqua" w:eastAsia="Book Antiqua" w:hAnsi="Book Antiqua" w:cs="Book Antiqua"/>
          <w:b/>
          <w:bCs/>
          <w:sz w:val="24"/>
          <w:szCs w:val="24"/>
        </w:rPr>
      </w:pPr>
    </w:p>
    <w:p w14:paraId="0731E115" w14:textId="77777777" w:rsidR="005D690E" w:rsidRDefault="00000000">
      <w:pPr>
        <w:spacing w:before="240" w:after="240" w:line="240" w:lineRule="auto"/>
        <w:jc w:val="both"/>
        <w:rPr>
          <w:rFonts w:ascii="Book Antiqua" w:eastAsia="Book Antiqua" w:hAnsi="Book Antiqua" w:cs="Book Antiqua"/>
          <w:b/>
          <w:bCs/>
          <w:sz w:val="24"/>
          <w:szCs w:val="24"/>
        </w:rPr>
      </w:pPr>
      <w:r>
        <w:rPr>
          <w:rFonts w:ascii="Book Antiqua" w:eastAsia="Book Antiqua" w:hAnsi="Book Antiqua" w:cs="Book Antiqua"/>
          <w:b/>
          <w:bCs/>
          <w:sz w:val="24"/>
          <w:szCs w:val="24"/>
        </w:rPr>
        <w:t>Table 6. Engle–Granger Cointegration Test</w:t>
      </w:r>
    </w:p>
    <w:tbl>
      <w:tblPr>
        <w:tblStyle w:val="a6"/>
        <w:tblW w:w="71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25"/>
        <w:gridCol w:w="1220"/>
        <w:gridCol w:w="1595"/>
        <w:gridCol w:w="2420"/>
      </w:tblGrid>
      <w:tr w:rsidR="005D690E" w14:paraId="31ACC41B" w14:textId="77777777">
        <w:trPr>
          <w:trHeight w:val="515"/>
        </w:trPr>
        <w:tc>
          <w:tcPr>
            <w:tcW w:w="1925" w:type="dxa"/>
            <w:tcBorders>
              <w:top w:val="single" w:sz="4" w:space="0" w:color="000000"/>
              <w:left w:val="nil"/>
              <w:bottom w:val="single" w:sz="4" w:space="0" w:color="000000"/>
              <w:right w:val="nil"/>
            </w:tcBorders>
            <w:tcMar>
              <w:top w:w="100" w:type="dxa"/>
              <w:left w:w="100" w:type="dxa"/>
              <w:bottom w:w="100" w:type="dxa"/>
              <w:right w:w="100" w:type="dxa"/>
            </w:tcMar>
          </w:tcPr>
          <w:p w14:paraId="1F94968E"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Test</w:t>
            </w:r>
          </w:p>
        </w:tc>
        <w:tc>
          <w:tcPr>
            <w:tcW w:w="1220" w:type="dxa"/>
            <w:tcBorders>
              <w:top w:val="single" w:sz="4" w:space="0" w:color="000000"/>
              <w:left w:val="nil"/>
              <w:bottom w:val="single" w:sz="4" w:space="0" w:color="000000"/>
              <w:right w:val="nil"/>
            </w:tcBorders>
            <w:tcMar>
              <w:top w:w="100" w:type="dxa"/>
              <w:left w:w="100" w:type="dxa"/>
              <w:bottom w:w="100" w:type="dxa"/>
              <w:right w:w="100" w:type="dxa"/>
            </w:tcMar>
          </w:tcPr>
          <w:p w14:paraId="22609AB5"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Statistic</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6F1BD26A"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Probability</w:t>
            </w:r>
          </w:p>
        </w:tc>
        <w:tc>
          <w:tcPr>
            <w:tcW w:w="2420" w:type="dxa"/>
            <w:tcBorders>
              <w:top w:val="single" w:sz="4" w:space="0" w:color="000000"/>
              <w:left w:val="nil"/>
              <w:bottom w:val="single" w:sz="4" w:space="0" w:color="000000"/>
              <w:right w:val="nil"/>
            </w:tcBorders>
            <w:tcMar>
              <w:top w:w="100" w:type="dxa"/>
              <w:left w:w="100" w:type="dxa"/>
              <w:bottom w:w="100" w:type="dxa"/>
              <w:right w:w="100" w:type="dxa"/>
            </w:tcMar>
          </w:tcPr>
          <w:p w14:paraId="19642359" w14:textId="77777777" w:rsidR="005D690E" w:rsidRDefault="00000000">
            <w:pPr>
              <w:spacing w:after="0" w:line="240" w:lineRule="auto"/>
              <w:jc w:val="center"/>
              <w:rPr>
                <w:rFonts w:ascii="Book Antiqua" w:eastAsia="Book Antiqua" w:hAnsi="Book Antiqua" w:cs="Book Antiqua"/>
                <w:sz w:val="20"/>
                <w:szCs w:val="20"/>
              </w:rPr>
            </w:pPr>
            <w:r>
              <w:rPr>
                <w:rFonts w:ascii="Book Antiqua" w:eastAsia="Book Antiqua" w:hAnsi="Book Antiqua" w:cs="Book Antiqua"/>
                <w:b/>
                <w:bCs/>
                <w:sz w:val="20"/>
                <w:szCs w:val="20"/>
              </w:rPr>
              <w:t>Conclusion</w:t>
            </w:r>
          </w:p>
        </w:tc>
      </w:tr>
      <w:tr w:rsidR="005D690E" w14:paraId="4527F89A" w14:textId="77777777">
        <w:trPr>
          <w:trHeight w:val="515"/>
        </w:trPr>
        <w:tc>
          <w:tcPr>
            <w:tcW w:w="1925" w:type="dxa"/>
            <w:tcBorders>
              <w:top w:val="single" w:sz="4" w:space="0" w:color="000000"/>
              <w:left w:val="nil"/>
              <w:bottom w:val="single" w:sz="4" w:space="0" w:color="000000"/>
              <w:right w:val="nil"/>
            </w:tcBorders>
            <w:tcMar>
              <w:top w:w="100" w:type="dxa"/>
              <w:left w:w="100" w:type="dxa"/>
              <w:bottom w:w="100" w:type="dxa"/>
              <w:right w:w="100" w:type="dxa"/>
            </w:tcMar>
          </w:tcPr>
          <w:p w14:paraId="4BEC112E"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Engle–Granger</w:t>
            </w:r>
          </w:p>
        </w:tc>
        <w:tc>
          <w:tcPr>
            <w:tcW w:w="1220" w:type="dxa"/>
            <w:tcBorders>
              <w:top w:val="single" w:sz="4" w:space="0" w:color="000000"/>
              <w:left w:val="nil"/>
              <w:bottom w:val="single" w:sz="4" w:space="0" w:color="000000"/>
              <w:right w:val="nil"/>
            </w:tcBorders>
            <w:tcMar>
              <w:top w:w="100" w:type="dxa"/>
              <w:left w:w="100" w:type="dxa"/>
              <w:bottom w:w="100" w:type="dxa"/>
              <w:right w:w="100" w:type="dxa"/>
            </w:tcMar>
          </w:tcPr>
          <w:p w14:paraId="3A5BF597"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-3.3533</w:t>
            </w:r>
          </w:p>
        </w:tc>
        <w:tc>
          <w:tcPr>
            <w:tcW w:w="1595" w:type="dxa"/>
            <w:tcBorders>
              <w:top w:val="single" w:sz="4" w:space="0" w:color="000000"/>
              <w:left w:val="nil"/>
              <w:bottom w:val="single" w:sz="4" w:space="0" w:color="000000"/>
              <w:right w:val="nil"/>
            </w:tcBorders>
            <w:tcMar>
              <w:top w:w="100" w:type="dxa"/>
              <w:left w:w="100" w:type="dxa"/>
              <w:bottom w:w="100" w:type="dxa"/>
              <w:right w:w="100" w:type="dxa"/>
            </w:tcMar>
          </w:tcPr>
          <w:p w14:paraId="74E98090"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0.0478</w:t>
            </w:r>
          </w:p>
        </w:tc>
        <w:tc>
          <w:tcPr>
            <w:tcW w:w="2420" w:type="dxa"/>
            <w:tcBorders>
              <w:top w:val="single" w:sz="4" w:space="0" w:color="000000"/>
              <w:left w:val="nil"/>
              <w:bottom w:val="single" w:sz="4" w:space="0" w:color="000000"/>
              <w:right w:val="nil"/>
            </w:tcBorders>
            <w:tcMar>
              <w:top w:w="100" w:type="dxa"/>
              <w:left w:w="100" w:type="dxa"/>
              <w:bottom w:w="100" w:type="dxa"/>
              <w:right w:w="100" w:type="dxa"/>
            </w:tcMar>
          </w:tcPr>
          <w:p w14:paraId="3CF604EE"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Cointegrated</w:t>
            </w:r>
          </w:p>
        </w:tc>
      </w:tr>
      <w:tr w:rsidR="005D690E" w14:paraId="30A46BEB" w14:textId="77777777">
        <w:trPr>
          <w:trHeight w:val="515"/>
        </w:trPr>
        <w:tc>
          <w:tcPr>
            <w:tcW w:w="1925" w:type="dxa"/>
            <w:tcBorders>
              <w:top w:val="single" w:sz="4" w:space="0" w:color="000000"/>
              <w:left w:val="nil"/>
              <w:bottom w:val="nil"/>
              <w:right w:val="nil"/>
            </w:tcBorders>
            <w:tcMar>
              <w:top w:w="100" w:type="dxa"/>
              <w:left w:w="100" w:type="dxa"/>
              <w:bottom w:w="100" w:type="dxa"/>
              <w:right w:w="100" w:type="dxa"/>
            </w:tcMar>
          </w:tcPr>
          <w:p w14:paraId="2978F321"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Residual ADF</w:t>
            </w:r>
          </w:p>
        </w:tc>
        <w:tc>
          <w:tcPr>
            <w:tcW w:w="1220" w:type="dxa"/>
            <w:tcBorders>
              <w:top w:val="single" w:sz="4" w:space="0" w:color="000000"/>
              <w:left w:val="nil"/>
              <w:bottom w:val="nil"/>
              <w:right w:val="nil"/>
            </w:tcBorders>
            <w:tcMar>
              <w:top w:w="100" w:type="dxa"/>
              <w:left w:w="100" w:type="dxa"/>
              <w:bottom w:w="100" w:type="dxa"/>
              <w:right w:w="100" w:type="dxa"/>
            </w:tcMar>
          </w:tcPr>
          <w:p w14:paraId="201401E5"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-3.3130</w:t>
            </w:r>
          </w:p>
        </w:tc>
        <w:tc>
          <w:tcPr>
            <w:tcW w:w="1595" w:type="dxa"/>
            <w:tcBorders>
              <w:top w:val="single" w:sz="4" w:space="0" w:color="000000"/>
              <w:left w:val="nil"/>
              <w:bottom w:val="nil"/>
              <w:right w:val="nil"/>
            </w:tcBorders>
            <w:tcMar>
              <w:top w:w="100" w:type="dxa"/>
              <w:left w:w="100" w:type="dxa"/>
              <w:bottom w:w="100" w:type="dxa"/>
              <w:right w:w="100" w:type="dxa"/>
            </w:tcMar>
          </w:tcPr>
          <w:p w14:paraId="3A997DEA"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0.0143</w:t>
            </w:r>
          </w:p>
        </w:tc>
        <w:tc>
          <w:tcPr>
            <w:tcW w:w="2420" w:type="dxa"/>
            <w:tcBorders>
              <w:top w:val="single" w:sz="4" w:space="0" w:color="000000"/>
              <w:left w:val="nil"/>
              <w:bottom w:val="nil"/>
              <w:right w:val="nil"/>
            </w:tcBorders>
            <w:tcMar>
              <w:top w:w="100" w:type="dxa"/>
              <w:left w:w="100" w:type="dxa"/>
              <w:bottom w:w="100" w:type="dxa"/>
              <w:right w:w="100" w:type="dxa"/>
            </w:tcMar>
          </w:tcPr>
          <w:p w14:paraId="2D805E0A" w14:textId="77777777" w:rsidR="005D690E" w:rsidRDefault="00000000">
            <w:pPr>
              <w:spacing w:after="0" w:line="240" w:lineRule="auto"/>
              <w:jc w:val="both"/>
              <w:rPr>
                <w:rFonts w:ascii="Book Antiqua" w:eastAsia="Book Antiqua" w:hAnsi="Book Antiqua" w:cs="Book Antiqua"/>
                <w:sz w:val="20"/>
                <w:szCs w:val="20"/>
              </w:rPr>
            </w:pPr>
            <w:r>
              <w:rPr>
                <w:rFonts w:ascii="Book Antiqua" w:eastAsia="Book Antiqua" w:hAnsi="Book Antiqua" w:cs="Book Antiqua"/>
                <w:sz w:val="20"/>
                <w:szCs w:val="20"/>
              </w:rPr>
              <w:t>Stationary residual</w:t>
            </w:r>
          </w:p>
        </w:tc>
      </w:tr>
    </w:tbl>
    <w:p w14:paraId="2ECCD862" w14:textId="77777777" w:rsidR="005D690E" w:rsidRDefault="00000000">
      <w:pPr>
        <w:spacing w:before="240" w:after="24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lastRenderedPageBreak/>
        <w:t>Source: Author's calculation using EViews</w:t>
      </w:r>
    </w:p>
    <w:p w14:paraId="0396026B" w14:textId="77777777" w:rsidR="005D690E" w:rsidRDefault="00000000">
      <w:pPr>
        <w:pStyle w:val="Heading1"/>
        <w:widowControl/>
        <w:spacing w:before="480" w:after="120"/>
        <w:ind w:left="0"/>
        <w:jc w:val="both"/>
        <w:rPr>
          <w:rFonts w:ascii="Book Antiqua" w:eastAsia="Book Antiqua" w:hAnsi="Book Antiqua" w:cs="Book Antiqua"/>
          <w:sz w:val="24"/>
          <w:szCs w:val="24"/>
        </w:rPr>
      </w:pPr>
      <w:bookmarkStart w:id="7" w:name="_xckvdzcgojmg" w:colFirst="0" w:colLast="0"/>
      <w:bookmarkEnd w:id="7"/>
      <w:r>
        <w:rPr>
          <w:rFonts w:ascii="Book Antiqua" w:eastAsia="Book Antiqua" w:hAnsi="Book Antiqua" w:cs="Book Antiqua"/>
          <w:sz w:val="24"/>
          <w:szCs w:val="24"/>
        </w:rPr>
        <w:t>Discussion</w:t>
      </w:r>
    </w:p>
    <w:p w14:paraId="2CE77C0B" w14:textId="77777777" w:rsidR="005D690E" w:rsidRDefault="00000000">
      <w:pPr>
        <w:pStyle w:val="Heading2"/>
        <w:keepNext w:val="0"/>
        <w:keepLines w:val="0"/>
        <w:spacing w:line="240" w:lineRule="auto"/>
        <w:jc w:val="both"/>
        <w:rPr>
          <w:rFonts w:ascii="Book Antiqua" w:eastAsia="Book Antiqua" w:hAnsi="Book Antiqua" w:cs="Book Antiqua"/>
          <w:sz w:val="24"/>
          <w:szCs w:val="24"/>
        </w:rPr>
      </w:pPr>
      <w:bookmarkStart w:id="8" w:name="_q4hrpj4hdidi" w:colFirst="0" w:colLast="0"/>
      <w:bookmarkEnd w:id="8"/>
      <w:r>
        <w:rPr>
          <w:rFonts w:ascii="Book Antiqua" w:eastAsia="Book Antiqua" w:hAnsi="Book Antiqua" w:cs="Book Antiqua"/>
          <w:sz w:val="24"/>
          <w:szCs w:val="24"/>
        </w:rPr>
        <w:t>Long-Run and Short-Run Dynamics between Exchange Rate and ISSI</w:t>
      </w:r>
    </w:p>
    <w:p w14:paraId="478E7C2D"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The findings reveal a nuanced relationship between the Rupiah–US Dollar exchange rate and the Indonesian Sharia Stock Index (ISSI), characterized by distinct long-run and short-run dynamics. At the level specification, the exchange rate exhibits a positive and statistically significant association with ISSI. However, the presence of non-stationary variables, coupled with a relatively high coefficient of determination (R² = 0.684) and a very low Durbin–Watson statistic (DW = 0.65), raises concerns regarding the reliability of this relationship. Following the argument of Granger and Newbold (1974), regressions involving non-stationary series may produce spurious relationships that merely reflect common stochastic trends rather than genuine economic linkages.</w:t>
      </w:r>
    </w:p>
    <w:p w14:paraId="403E9D72"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This concern is reinforced by the diagnostic test results, which indicate serious violations of classical regression assumptions. Therefore, the positive relationship observed in the level model should be interpreted cautiously, as it may largely capture the fact that both variables exhibit upward trends during the observation period rather than a meaningful causal relationship.</w:t>
      </w:r>
    </w:p>
    <w:p w14:paraId="3D2AE2C0"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A different pattern emerges after correcting for non-stationarity through first differencing. The estimated coefficient becomes negative and statistically significant, suggesting that Rupiah depreciation exerts downward pressure on ISSI in the short run. This finding implies that fluctuations in the exchange rate have immediate consequences for the performance of Sharia-compliant firms, particularly through their impact on production costs, imported inputs, and investor expectations.</w:t>
      </w:r>
    </w:p>
    <w:p w14:paraId="3149AC67"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The cointegration results provide an additional layer of insight. The existence of a statistically significant cointegration relationship suggests that despite short-run fluctuations, ISSI and the exchange rate maintain a long-run equilibrium relationship. Consequently, the evidence indicates that exchange rate movements influence the Sharia stock market through two distinct channels: a short-run adjustment mechanism characterized by a negative response and a long-run equilibrium process in which both variables move together over time.</w:t>
      </w:r>
    </w:p>
    <w:p w14:paraId="7267BE49" w14:textId="77777777" w:rsidR="005D690E" w:rsidRDefault="00000000">
      <w:pPr>
        <w:pStyle w:val="Heading2"/>
        <w:keepNext w:val="0"/>
        <w:keepLines w:val="0"/>
        <w:spacing w:line="240" w:lineRule="auto"/>
        <w:jc w:val="both"/>
        <w:rPr>
          <w:rFonts w:ascii="Book Antiqua" w:eastAsia="Book Antiqua" w:hAnsi="Book Antiqua" w:cs="Book Antiqua"/>
          <w:sz w:val="24"/>
          <w:szCs w:val="24"/>
        </w:rPr>
      </w:pPr>
      <w:bookmarkStart w:id="9" w:name="_orkxj0x4ne2p" w:colFirst="0" w:colLast="0"/>
      <w:bookmarkEnd w:id="9"/>
      <w:r>
        <w:rPr>
          <w:rFonts w:ascii="Book Antiqua" w:eastAsia="Book Antiqua" w:hAnsi="Book Antiqua" w:cs="Book Antiqua"/>
          <w:sz w:val="24"/>
          <w:szCs w:val="24"/>
        </w:rPr>
        <w:t>Consistency with the Flow-Oriented Model</w:t>
      </w:r>
    </w:p>
    <w:p w14:paraId="10FBF2AE"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The negative coefficient obtained from the first-difference regression strongly supports the flow-oriented model developed by Dornbusch and Fischer (1980). </w:t>
      </w:r>
      <w:r>
        <w:rPr>
          <w:rFonts w:ascii="Book Antiqua" w:eastAsia="Book Antiqua" w:hAnsi="Book Antiqua" w:cs="Book Antiqua"/>
          <w:sz w:val="24"/>
          <w:szCs w:val="24"/>
        </w:rPr>
        <w:lastRenderedPageBreak/>
        <w:t>According to this framework, exchange rate movements affect firms’ competitiveness, profitability, and future cash flows, which are subsequently reflected in stock prices.</w:t>
      </w:r>
    </w:p>
    <w:p w14:paraId="2C99AFF0"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In the Indonesian context, Rupiah depreciation increases the cost of imported raw materials and intermediate goods used by domestic firms. It may also increase the burden of foreign-currency-denominated liabilities, thereby reducing profitability and weakening investor confidence. As a result, stock prices tend to decline when the domestic currency depreciates. The present findings suggest that these mechanisms remain relevant within the Islamic capital market. Although Sharia-compliant firms are generally subject to lower leverage and stricter financial screening requirements, they are not completely insulated from exchange-rate shocks. Consequently, the empirical evidence confirms that exchange rate fluctuations continue to play an important role in shaping the performance of ISSI.</w:t>
      </w:r>
    </w:p>
    <w:p w14:paraId="1EFF62E8"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Interestingly, the results also demonstrate that the validity of the flow-oriented model depends on the analytical horizon. While the short-run dynamics support the model's prediction of a negative relationship, the long-run cointegration results indicate a more complex interaction that cannot be fully explained by short-run transmission mechanisms alone.</w:t>
      </w:r>
    </w:p>
    <w:p w14:paraId="46821428" w14:textId="77777777" w:rsidR="005D690E" w:rsidRDefault="00000000">
      <w:pPr>
        <w:pStyle w:val="Heading2"/>
        <w:keepNext w:val="0"/>
        <w:keepLines w:val="0"/>
        <w:spacing w:line="240" w:lineRule="auto"/>
        <w:jc w:val="both"/>
        <w:rPr>
          <w:rFonts w:ascii="Book Antiqua" w:eastAsia="Book Antiqua" w:hAnsi="Book Antiqua" w:cs="Book Antiqua"/>
          <w:sz w:val="24"/>
          <w:szCs w:val="24"/>
        </w:rPr>
      </w:pPr>
      <w:bookmarkStart w:id="10" w:name="_uijxn9qnowpb" w:colFirst="0" w:colLast="0"/>
      <w:bookmarkEnd w:id="10"/>
      <w:r>
        <w:rPr>
          <w:rFonts w:ascii="Book Antiqua" w:eastAsia="Book Antiqua" w:hAnsi="Book Antiqua" w:cs="Book Antiqua"/>
          <w:sz w:val="24"/>
          <w:szCs w:val="24"/>
        </w:rPr>
        <w:t>Comparison with Previous Empirical Studies</w:t>
      </w:r>
    </w:p>
    <w:p w14:paraId="074C0D04"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The findings of this study contribute to the ongoing debate regarding the exchange rate–stock market nexus in Indonesia. Several recent studies, including those conducted by </w:t>
      </w:r>
      <w:proofErr w:type="spellStart"/>
      <w:r>
        <w:rPr>
          <w:rFonts w:ascii="Book Antiqua" w:eastAsia="Book Antiqua" w:hAnsi="Book Antiqua" w:cs="Book Antiqua"/>
          <w:sz w:val="24"/>
          <w:szCs w:val="24"/>
        </w:rPr>
        <w:t>Fisamawati</w:t>
      </w:r>
      <w:proofErr w:type="spellEnd"/>
      <w:r>
        <w:rPr>
          <w:rFonts w:ascii="Book Antiqua" w:eastAsia="Book Antiqua" w:hAnsi="Book Antiqua" w:cs="Book Antiqua"/>
          <w:sz w:val="24"/>
          <w:szCs w:val="24"/>
        </w:rPr>
        <w:t xml:space="preserve"> (2025) and </w:t>
      </w:r>
      <w:proofErr w:type="spellStart"/>
      <w:r>
        <w:rPr>
          <w:rFonts w:ascii="Book Antiqua" w:eastAsia="Book Antiqua" w:hAnsi="Book Antiqua" w:cs="Book Antiqua"/>
          <w:sz w:val="24"/>
          <w:szCs w:val="24"/>
        </w:rPr>
        <w:t>Khotimah</w:t>
      </w:r>
      <w:proofErr w:type="spellEnd"/>
      <w:r>
        <w:rPr>
          <w:rFonts w:ascii="Book Antiqua" w:eastAsia="Book Antiqua" w:hAnsi="Book Antiqua" w:cs="Book Antiqua"/>
          <w:sz w:val="24"/>
          <w:szCs w:val="24"/>
        </w:rPr>
        <w:t xml:space="preserve"> et al. (2025), reported a positive and significant relationship between the exchange rate and ISSI. At first glance, these findings appear inconsistent with the results obtained in the present study.</w:t>
      </w:r>
    </w:p>
    <w:p w14:paraId="0B9BF4B3"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However, a closer examination suggests that the discrepancy may stem from methodological differences. Previous studies primarily relied on level-form regressions and did not extensively address potential non-stationarity issues. As demonstrated in the present analysis, regressions estimated using non-stationary variables may capture common trends rather than genuine economic relationships. After controlling for non-stationarity, the relationship becomes negative and statistically significant, thereby supporting the theoretical predictions of the flow-oriented model. This result suggests that some previously reported positive relationships may reflect trend-driven correlations rather than underlying economic mechanisms.</w:t>
      </w:r>
    </w:p>
    <w:p w14:paraId="79072AE0"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The findings also resonate with international evidence. Kim (2003), in the context of the Chinese stock market, documented the coexistence of long-run equilibrium relationships and short-run negative adjustments between exchange rates and stock prices. Similarly, Bahmani-</w:t>
      </w:r>
      <w:proofErr w:type="spellStart"/>
      <w:r>
        <w:rPr>
          <w:rFonts w:ascii="Book Antiqua" w:eastAsia="Book Antiqua" w:hAnsi="Book Antiqua" w:cs="Book Antiqua"/>
          <w:sz w:val="24"/>
          <w:szCs w:val="24"/>
        </w:rPr>
        <w:t>Oskooee</w:t>
      </w:r>
      <w:proofErr w:type="spellEnd"/>
      <w:r>
        <w:rPr>
          <w:rFonts w:ascii="Book Antiqua" w:eastAsia="Book Antiqua" w:hAnsi="Book Antiqua" w:cs="Book Antiqua"/>
          <w:sz w:val="24"/>
          <w:szCs w:val="24"/>
        </w:rPr>
        <w:t xml:space="preserve"> and Saha (2017) emphasized that exchange rate–stock market relationships are often asymmetric and highly sensitive </w:t>
      </w:r>
      <w:r>
        <w:rPr>
          <w:rFonts w:ascii="Book Antiqua" w:eastAsia="Book Antiqua" w:hAnsi="Book Antiqua" w:cs="Book Antiqua"/>
          <w:sz w:val="24"/>
          <w:szCs w:val="24"/>
        </w:rPr>
        <w:lastRenderedPageBreak/>
        <w:t>to model specification, estimation techniques, and time horizons. Therefore, the present study provides additional evidence that the relationship between exchange rates and stock markets cannot be adequately captured by a single static coefficient. Instead, it should be understood as a dynamic process involving both long-run equilibrium forces and short-run adjustment mechanisms.</w:t>
      </w:r>
    </w:p>
    <w:p w14:paraId="2304C7E4" w14:textId="77777777" w:rsidR="005D690E" w:rsidRDefault="00000000">
      <w:pPr>
        <w:pStyle w:val="Heading2"/>
        <w:keepNext w:val="0"/>
        <w:keepLines w:val="0"/>
        <w:spacing w:line="240" w:lineRule="auto"/>
        <w:jc w:val="both"/>
        <w:rPr>
          <w:rFonts w:ascii="Book Antiqua" w:eastAsia="Book Antiqua" w:hAnsi="Book Antiqua" w:cs="Book Antiqua"/>
          <w:sz w:val="24"/>
          <w:szCs w:val="24"/>
        </w:rPr>
      </w:pPr>
      <w:bookmarkStart w:id="11" w:name="_gghlvji7ap8w" w:colFirst="0" w:colLast="0"/>
      <w:bookmarkEnd w:id="11"/>
      <w:r>
        <w:rPr>
          <w:rFonts w:ascii="Book Antiqua" w:eastAsia="Book Antiqua" w:hAnsi="Book Antiqua" w:cs="Book Antiqua"/>
          <w:sz w:val="24"/>
          <w:szCs w:val="24"/>
        </w:rPr>
        <w:t>Theoretical Implications</w:t>
      </w:r>
    </w:p>
    <w:p w14:paraId="09753AB1"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This study offers several theoretical contributions to the literature on Islamic capital markets and exchange rate economics. First, it provides empirical support for the applicability of the flow-oriented model within the context of Indonesia’s Sharia stock market. The negative and significant short-run effect confirms that exchange rate depreciation adversely affects Sharia-compliant equities through real-sector transmission channels.</w:t>
      </w:r>
    </w:p>
    <w:p w14:paraId="71594900"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Second, the findings highlight the importance of incorporating time-series properties into empirical analyses of financial markets. The contrast between the level regression and the differenced regression demonstrates how conclusions regarding the direction of relationships can change substantially once non-stationarity is properly addressed. Third, the evidence suggests that Sharia-compliant firms may possess a degree of resilience against exchange-rate shocks due to their relatively low dependence on interest-bearing debt. Nevertheless, this resilience does not eliminate exposure to exchange-rate risk altogether, indicating that Islamic financial principles moderate but do not fully neutralize, the impact of macroeconomic shocks.</w:t>
      </w:r>
    </w:p>
    <w:p w14:paraId="095287C1" w14:textId="77777777" w:rsidR="005D690E" w:rsidRDefault="00000000">
      <w:pPr>
        <w:pStyle w:val="Heading2"/>
        <w:keepNext w:val="0"/>
        <w:keepLines w:val="0"/>
        <w:spacing w:line="240" w:lineRule="auto"/>
        <w:jc w:val="both"/>
        <w:rPr>
          <w:rFonts w:ascii="Book Antiqua" w:eastAsia="Book Antiqua" w:hAnsi="Book Antiqua" w:cs="Book Antiqua"/>
          <w:sz w:val="24"/>
          <w:szCs w:val="24"/>
        </w:rPr>
      </w:pPr>
      <w:bookmarkStart w:id="12" w:name="_97sgf9dzkz4t" w:colFirst="0" w:colLast="0"/>
      <w:bookmarkEnd w:id="12"/>
      <w:r>
        <w:rPr>
          <w:rFonts w:ascii="Book Antiqua" w:eastAsia="Book Antiqua" w:hAnsi="Book Antiqua" w:cs="Book Antiqua"/>
          <w:sz w:val="24"/>
          <w:szCs w:val="24"/>
        </w:rPr>
        <w:t>Practical Implications</w:t>
      </w:r>
    </w:p>
    <w:p w14:paraId="3E2EA93E"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The findings generate several practical implications for market participants and policymakers. For investors, the results indicate that periods of Rupiah depreciation may negatively affect ISSI performance in the short run. Consequently, monitoring exchange-rate developments and implementing appropriate risk-management or hedging strategies may improve portfolio performance. At the same time, the existence of a long-run equilibrium relationship suggests that temporary market corrections may create investment opportunities for long-term investors. For regulators, including Bank Indonesia, the Financial Services Authority (OJK), and the Indonesia Stock Exchange (IDX), maintaining exchange-rate stability remains important for reducing short-term volatility in the Islamic capital market. Coordinated monetary, financial, and capital-market policies may therefore contribute to greater resilience within the Sharia financial ecosystem.</w:t>
      </w:r>
    </w:p>
    <w:p w14:paraId="1F1F76DC" w14:textId="77777777" w:rsidR="005D690E" w:rsidRDefault="00000000">
      <w:pPr>
        <w:spacing w:before="240" w:after="240" w:line="240" w:lineRule="auto"/>
        <w:ind w:firstLine="720"/>
        <w:jc w:val="both"/>
        <w:rPr>
          <w:rFonts w:ascii="Book Antiqua" w:eastAsia="Book Antiqua" w:hAnsi="Book Antiqua" w:cs="Book Antiqua"/>
          <w:b/>
          <w:bCs/>
          <w:sz w:val="24"/>
          <w:szCs w:val="24"/>
        </w:rPr>
      </w:pPr>
      <w:r>
        <w:rPr>
          <w:rFonts w:ascii="Book Antiqua" w:eastAsia="Book Antiqua" w:hAnsi="Book Antiqua" w:cs="Book Antiqua"/>
          <w:sz w:val="24"/>
          <w:szCs w:val="24"/>
        </w:rPr>
        <w:t xml:space="preserve">For academics, the study underscores the importance of conducting stationarity and cointegration tests before interpreting regression results involving macroeconomic time-series data. Failure to account for these properties may lead to misleading conclusions and inconsistent findings across studies. Finally, given the </w:t>
      </w:r>
      <w:r>
        <w:rPr>
          <w:rFonts w:ascii="Book Antiqua" w:eastAsia="Book Antiqua" w:hAnsi="Book Antiqua" w:cs="Book Antiqua"/>
          <w:sz w:val="24"/>
          <w:szCs w:val="24"/>
        </w:rPr>
        <w:lastRenderedPageBreak/>
        <w:t>marginal nature of the cointegration evidence, future research should consider employing Error Correction Models (ECM), Autoregressive Distributed Lag (ARDL) models, or nonlinear approaches such as NARDL to distinguish more explicitly between long-run and short-run effects while accommodating potential asymmetries in the exchange rate–stock market relationship.</w:t>
      </w:r>
    </w:p>
    <w:p w14:paraId="151F8667" w14:textId="77777777" w:rsidR="005D690E" w:rsidRDefault="00000000">
      <w:pPr>
        <w:spacing w:before="240" w:after="0" w:line="240" w:lineRule="auto"/>
        <w:rPr>
          <w:rFonts w:ascii="Book Antiqua" w:eastAsia="Book Antiqua" w:hAnsi="Book Antiqua" w:cs="Book Antiqua"/>
          <w:sz w:val="24"/>
          <w:szCs w:val="24"/>
        </w:rPr>
      </w:pPr>
      <w:r>
        <w:rPr>
          <w:rFonts w:ascii="Book Antiqua" w:eastAsia="Book Antiqua" w:hAnsi="Book Antiqua" w:cs="Book Antiqua"/>
          <w:b/>
          <w:bCs/>
          <w:color w:val="000000"/>
          <w:sz w:val="24"/>
          <w:szCs w:val="24"/>
        </w:rPr>
        <w:t>CONCLUSION</w:t>
      </w:r>
    </w:p>
    <w:p w14:paraId="7573E4E6"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This study examined the impact of the Rupiah–US Dollar exchange rate on the Indonesian Sharia Stock Index (ISSI) using monthly time-series data covering the period from January 2020 to December 2025. The analysis was conducted using Ordinary Least Squares (OLS), supported by stationarity testing, diagnostic testing, and cointegration analysis to ensure the robustness of the findings. The results indicate that both the exchange rate and ISSI exhibit non-stationary </w:t>
      </w:r>
      <w:proofErr w:type="spellStart"/>
      <w:r>
        <w:rPr>
          <w:rFonts w:ascii="Book Antiqua" w:eastAsia="Book Antiqua" w:hAnsi="Book Antiqua" w:cs="Book Antiqua"/>
          <w:sz w:val="24"/>
          <w:szCs w:val="24"/>
        </w:rPr>
        <w:t>behavior</w:t>
      </w:r>
      <w:proofErr w:type="spellEnd"/>
      <w:r>
        <w:rPr>
          <w:rFonts w:ascii="Book Antiqua" w:eastAsia="Book Antiqua" w:hAnsi="Book Antiqua" w:cs="Book Antiqua"/>
          <w:sz w:val="24"/>
          <w:szCs w:val="24"/>
        </w:rPr>
        <w:t xml:space="preserve"> at the level form but become stationary after first differencing, suggesting that both variables are integrated of order one, I(1). The initial level regression reveals a positive and statistically significant relationship between the exchange rate and ISSI. However, diagnostic tests indicate the presence of non-stationarity, autocorrelation, and heteroskedasticity, suggesting that the level relationship may be influenced by spurious regression.</w:t>
      </w:r>
    </w:p>
    <w:p w14:paraId="7A213054"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After controlling for non-stationarity through first differencing, the relationship between the exchange rate and ISSI becomes negative and statistically significant. This finding implies that Rupiah depreciation exerts downward pressure on the Indonesian Sharia stock market in the short run. Furthermore, the Engle–Granger cointegration test confirms the existence of a long-run equilibrium relationship between the two variables, indicating that although short-run adjustments may be negative, both variables tend to move together over the long term.</w:t>
      </w:r>
    </w:p>
    <w:p w14:paraId="6648128E"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Overall, the findings support the relevance of the flow-oriented model in explaining the relationship between exchange rate movements and Sharia stock market performance in Indonesia. The study demonstrates that the direction and magnitude of the exchange rate effect depend on the analytical horizon, highlighting the importance of distinguishing between short-run dynamics and long-run equilibrium relationships when examining financial time-series data.</w:t>
      </w:r>
    </w:p>
    <w:p w14:paraId="75FCBE27" w14:textId="77777777" w:rsidR="005D690E" w:rsidRDefault="00000000">
      <w:pPr>
        <w:spacing w:before="240" w:after="240" w:line="240" w:lineRule="auto"/>
        <w:jc w:val="both"/>
        <w:rPr>
          <w:rFonts w:ascii="Book Antiqua" w:eastAsia="Book Antiqua" w:hAnsi="Book Antiqua" w:cs="Book Antiqua"/>
          <w:b/>
          <w:bCs/>
          <w:sz w:val="24"/>
          <w:szCs w:val="24"/>
        </w:rPr>
      </w:pPr>
      <w:r>
        <w:rPr>
          <w:rFonts w:ascii="Book Antiqua" w:eastAsia="Book Antiqua" w:hAnsi="Book Antiqua" w:cs="Book Antiqua"/>
          <w:b/>
          <w:bCs/>
          <w:sz w:val="24"/>
          <w:szCs w:val="24"/>
        </w:rPr>
        <w:t>Research Limitations</w:t>
      </w:r>
    </w:p>
    <w:p w14:paraId="7C17E5EF"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Several limitations should be acknowledged when interpreting the findings of this study. First, the analysis employs a bivariate framework consisting of only one independent variable, making the model susceptible to omitted variable bias. Other macroeconomic determinants of ISSI performance, such as inflation, interest rates, commodity prices, global market sentiment, and monetary policy variables, were not incorporated into the model. Second, although the study identifies evidence of cointegration, the OLS framework does not explicitly separate short-run and long-run </w:t>
      </w:r>
      <w:r>
        <w:rPr>
          <w:rFonts w:ascii="Book Antiqua" w:eastAsia="Book Antiqua" w:hAnsi="Book Antiqua" w:cs="Book Antiqua"/>
          <w:sz w:val="24"/>
          <w:szCs w:val="24"/>
        </w:rPr>
        <w:lastRenderedPageBreak/>
        <w:t>adjustment mechanisms. Consequently, the estimated relationships should be interpreted as preliminary evidence rather than a complete representation of the exchange rate–stock market nexus.</w:t>
      </w:r>
    </w:p>
    <w:p w14:paraId="3BDD071F"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Third, the observation period is limited to 72 monthly observations covering six years. While the selected period captures several major economic shocks, a longer time horizon may provide a more comprehensive understanding of structural relationships and market adjustments. Finally, this study does not account for potential asymmetries in exchange rate movements or structural breaks resulting from extraordinary events such as the COVID-19 pandemic. Therefore, the estimated coefficients may not fully capture the complexity of exchange rate transmission mechanisms within Indonesia’s Islamic capital market.</w:t>
      </w:r>
    </w:p>
    <w:p w14:paraId="29670F7F" w14:textId="77777777" w:rsidR="005D690E" w:rsidRDefault="00000000">
      <w:pPr>
        <w:spacing w:before="240" w:after="240" w:line="240" w:lineRule="auto"/>
        <w:jc w:val="both"/>
        <w:rPr>
          <w:rFonts w:ascii="Book Antiqua" w:eastAsia="Book Antiqua" w:hAnsi="Book Antiqua" w:cs="Book Antiqua"/>
          <w:b/>
          <w:bCs/>
          <w:sz w:val="24"/>
          <w:szCs w:val="24"/>
        </w:rPr>
      </w:pPr>
      <w:r>
        <w:rPr>
          <w:rFonts w:ascii="Book Antiqua" w:eastAsia="Book Antiqua" w:hAnsi="Book Antiqua" w:cs="Book Antiqua"/>
          <w:b/>
          <w:bCs/>
          <w:sz w:val="24"/>
          <w:szCs w:val="24"/>
        </w:rPr>
        <w:t>Recommendations and Future Research Directions</w:t>
      </w:r>
    </w:p>
    <w:p w14:paraId="71CA4FCE"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Based on the findings and limitations of the study, several recommendations can be proposed. For investors, exchange rate developments should be considered an important source of risk when making investment decisions in the Islamic capital market. Periods of significant Rupiah depreciation may exert downward pressure on ISSI in the short run, highlighting the importance of portfolio diversification and risk-management strategies. At the same time, the existence of a long-run equilibrium relationship suggests that temporary market corrections may provide attractive opportunities for long-term investors.</w:t>
      </w:r>
    </w:p>
    <w:p w14:paraId="7964756A"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For policymakers and market regulators, including Bank Indonesia, the Financial Services Authority (OJK), and the Indonesia Stock Exchange (IDX), maintaining exchange rate stability remains essential for supporting the resilience of Indonesia’s Islamic capital market. Policy coordination aimed at reducing excessive currency volatility may contribute to a more stable investment environment and strengthen investor confidence.</w:t>
      </w:r>
    </w:p>
    <w:p w14:paraId="1DF94CC9" w14:textId="77777777" w:rsidR="005D690E" w:rsidRDefault="00000000">
      <w:pPr>
        <w:spacing w:before="240" w:after="240" w:line="240" w:lineRule="auto"/>
        <w:ind w:firstLine="720"/>
        <w:jc w:val="both"/>
        <w:rPr>
          <w:rFonts w:ascii="Book Antiqua" w:eastAsia="Book Antiqua" w:hAnsi="Book Antiqua" w:cs="Book Antiqua"/>
          <w:sz w:val="24"/>
          <w:szCs w:val="24"/>
        </w:rPr>
      </w:pPr>
      <w:r>
        <w:rPr>
          <w:rFonts w:ascii="Book Antiqua" w:eastAsia="Book Antiqua" w:hAnsi="Book Antiqua" w:cs="Book Antiqua"/>
          <w:sz w:val="24"/>
          <w:szCs w:val="24"/>
        </w:rPr>
        <w:t>For future research, several avenues deserve further exploration. Future studies are encouraged to employ Error Correction Models (ECM) or Autoregressive Distributed Lag (ARDL) approaches to explicitly distinguish between short-run and long-run effects. Researchers may also incorporate additional macroeconomic variables, such as inflation, interest rates, commodity prices, and global financial indicators, to improve model explanatory power. Furthermore, nonlinear approaches, including NARDL models, may provide valuable insights into potential asymmetric responses of the Islamic stock market to currency appreciation and depreciation. Extending the observation period and testing for structural breaks would also contribute to a deeper understanding of exchange rate dynamics and Islamic capital market performance in Indonesia.</w:t>
      </w:r>
    </w:p>
    <w:p w14:paraId="00037671" w14:textId="77777777" w:rsidR="005D690E" w:rsidRPr="00AF5361" w:rsidRDefault="00000000">
      <w:pPr>
        <w:spacing w:before="240" w:after="0" w:line="240" w:lineRule="auto"/>
        <w:rPr>
          <w:rFonts w:ascii="Book Antiqua" w:eastAsia="Book Antiqua" w:hAnsi="Book Antiqua" w:cs="Book Antiqua"/>
          <w:sz w:val="24"/>
          <w:szCs w:val="24"/>
          <w:lang w:val="sv-SE"/>
        </w:rPr>
      </w:pPr>
      <w:r w:rsidRPr="00AF5361">
        <w:rPr>
          <w:rFonts w:ascii="Book Antiqua" w:eastAsia="Book Antiqua" w:hAnsi="Book Antiqua" w:cs="Book Antiqua"/>
          <w:b/>
          <w:bCs/>
          <w:color w:val="000000"/>
          <w:sz w:val="24"/>
          <w:szCs w:val="24"/>
          <w:lang w:val="sv-SE"/>
        </w:rPr>
        <w:t>REFERENCES</w:t>
      </w:r>
      <w:r w:rsidRPr="00AF5361">
        <w:rPr>
          <w:rFonts w:ascii="Book Antiqua" w:eastAsia="Book Antiqua" w:hAnsi="Book Antiqua" w:cs="Book Antiqua"/>
          <w:sz w:val="24"/>
          <w:szCs w:val="24"/>
          <w:lang w:val="sv-SE"/>
        </w:rPr>
        <w:t xml:space="preserve"> </w:t>
      </w:r>
    </w:p>
    <w:p w14:paraId="1FE3821A" w14:textId="77777777" w:rsidR="005D690E" w:rsidRPr="00AF5361" w:rsidRDefault="00000000">
      <w:pPr>
        <w:spacing w:after="100" w:line="300" w:lineRule="auto"/>
        <w:ind w:left="720"/>
        <w:jc w:val="both"/>
        <w:rPr>
          <w:rFonts w:ascii="Book Antiqua" w:eastAsia="Book Antiqua" w:hAnsi="Book Antiqua" w:cs="Book Antiqua"/>
          <w:sz w:val="24"/>
          <w:szCs w:val="24"/>
          <w:lang w:val="sv-SE"/>
        </w:rPr>
      </w:pPr>
      <w:r w:rsidRPr="00AF5361">
        <w:rPr>
          <w:rFonts w:ascii="Book Antiqua" w:eastAsia="Book Antiqua" w:hAnsi="Book Antiqua" w:cs="Book Antiqua"/>
          <w:sz w:val="24"/>
          <w:szCs w:val="24"/>
          <w:lang w:val="sv-SE"/>
        </w:rPr>
        <w:lastRenderedPageBreak/>
        <w:t xml:space="preserve">Badan Pusat Statistik. (2024). </w:t>
      </w:r>
      <w:r w:rsidRPr="00AF5361">
        <w:rPr>
          <w:rFonts w:ascii="Book Antiqua" w:eastAsia="Book Antiqua" w:hAnsi="Book Antiqua" w:cs="Book Antiqua"/>
          <w:i/>
          <w:iCs/>
          <w:sz w:val="24"/>
          <w:szCs w:val="24"/>
          <w:lang w:val="sv-SE"/>
        </w:rPr>
        <w:t>Rata-rata nilai tukar rupiah terhadap dolar Amerika menurut bulan, 2021–2023</w:t>
      </w:r>
      <w:r w:rsidRPr="00AF5361">
        <w:rPr>
          <w:rFonts w:ascii="Book Antiqua" w:eastAsia="Book Antiqua" w:hAnsi="Book Antiqua" w:cs="Book Antiqua"/>
          <w:sz w:val="24"/>
          <w:szCs w:val="24"/>
          <w:lang w:val="sv-SE"/>
        </w:rPr>
        <w:t xml:space="preserve">. </w:t>
      </w:r>
      <w:hyperlink r:id="rId16">
        <w:r w:rsidR="005D690E" w:rsidRPr="00AF5361">
          <w:rPr>
            <w:rFonts w:ascii="Book Antiqua" w:eastAsia="Book Antiqua" w:hAnsi="Book Antiqua" w:cs="Book Antiqua"/>
            <w:color w:val="0563C1"/>
            <w:sz w:val="24"/>
            <w:szCs w:val="24"/>
            <w:u w:val="single"/>
            <w:lang w:val="sv-SE"/>
          </w:rPr>
          <w:t>https://www.bps.go.id</w:t>
        </w:r>
      </w:hyperlink>
    </w:p>
    <w:p w14:paraId="7602E9FF" w14:textId="77777777" w:rsidR="005D690E" w:rsidRDefault="00000000">
      <w:pPr>
        <w:spacing w:after="100" w:line="300" w:lineRule="auto"/>
        <w:ind w:left="720"/>
        <w:jc w:val="both"/>
        <w:rPr>
          <w:rFonts w:ascii="Book Antiqua" w:eastAsia="Book Antiqua" w:hAnsi="Book Antiqua" w:cs="Book Antiqua"/>
          <w:sz w:val="24"/>
          <w:szCs w:val="24"/>
        </w:rPr>
      </w:pPr>
      <w:r w:rsidRPr="00AF5361">
        <w:rPr>
          <w:rFonts w:ascii="Book Antiqua" w:eastAsia="Book Antiqua" w:hAnsi="Book Antiqua" w:cs="Book Antiqua"/>
          <w:sz w:val="24"/>
          <w:szCs w:val="24"/>
          <w:lang w:val="sv-SE"/>
        </w:rPr>
        <w:t xml:space="preserve">Bahmani-Oskooee, M., &amp; Saha, S. (2017). </w:t>
      </w:r>
      <w:r>
        <w:rPr>
          <w:rFonts w:ascii="Book Antiqua" w:eastAsia="Book Antiqua" w:hAnsi="Book Antiqua" w:cs="Book Antiqua"/>
          <w:sz w:val="24"/>
          <w:szCs w:val="24"/>
        </w:rPr>
        <w:t xml:space="preserve">On the relation between exchange rates and stock prices: A non-linear ARDL approach and asymmetry analysis. </w:t>
      </w:r>
      <w:r>
        <w:rPr>
          <w:rFonts w:ascii="Book Antiqua" w:eastAsia="Book Antiqua" w:hAnsi="Book Antiqua" w:cs="Book Antiqua"/>
          <w:i/>
          <w:iCs/>
          <w:sz w:val="24"/>
          <w:szCs w:val="24"/>
        </w:rPr>
        <w:t>Journal of Economics and Finance, 41</w:t>
      </w:r>
      <w:r>
        <w:rPr>
          <w:rFonts w:ascii="Book Antiqua" w:eastAsia="Book Antiqua" w:hAnsi="Book Antiqua" w:cs="Book Antiqua"/>
          <w:sz w:val="24"/>
          <w:szCs w:val="24"/>
        </w:rPr>
        <w:t xml:space="preserve">(4), 626–649. </w:t>
      </w:r>
      <w:hyperlink r:id="rId17">
        <w:r w:rsidR="005D690E">
          <w:rPr>
            <w:rFonts w:ascii="Book Antiqua" w:eastAsia="Book Antiqua" w:hAnsi="Book Antiqua" w:cs="Book Antiqua"/>
            <w:color w:val="0563C1"/>
            <w:sz w:val="24"/>
            <w:szCs w:val="24"/>
            <w:u w:val="single"/>
          </w:rPr>
          <w:t>https://doi.org/10.1007/s12197-017-9388-8</w:t>
        </w:r>
      </w:hyperlink>
    </w:p>
    <w:p w14:paraId="68D7DF65" w14:textId="77777777" w:rsidR="005D690E" w:rsidRDefault="00000000">
      <w:pPr>
        <w:spacing w:after="100" w:line="300" w:lineRule="auto"/>
        <w:ind w:left="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Bank Indonesia. (2026). </w:t>
      </w:r>
      <w:r>
        <w:rPr>
          <w:rFonts w:ascii="Book Antiqua" w:eastAsia="Book Antiqua" w:hAnsi="Book Antiqua" w:cs="Book Antiqua"/>
          <w:i/>
          <w:iCs/>
          <w:sz w:val="24"/>
          <w:szCs w:val="24"/>
        </w:rPr>
        <w:t xml:space="preserve">Kurs </w:t>
      </w:r>
      <w:proofErr w:type="spellStart"/>
      <w:r>
        <w:rPr>
          <w:rFonts w:ascii="Book Antiqua" w:eastAsia="Book Antiqua" w:hAnsi="Book Antiqua" w:cs="Book Antiqua"/>
          <w:i/>
          <w:iCs/>
          <w:sz w:val="24"/>
          <w:szCs w:val="24"/>
        </w:rPr>
        <w:t>transaksi</w:t>
      </w:r>
      <w:proofErr w:type="spellEnd"/>
      <w:r>
        <w:rPr>
          <w:rFonts w:ascii="Book Antiqua" w:eastAsia="Book Antiqua" w:hAnsi="Book Antiqua" w:cs="Book Antiqua"/>
          <w:i/>
          <w:iCs/>
          <w:sz w:val="24"/>
          <w:szCs w:val="24"/>
        </w:rPr>
        <w:t xml:space="preserve"> Bank Indonesia / JISDOR</w:t>
      </w:r>
      <w:r>
        <w:rPr>
          <w:rFonts w:ascii="Book Antiqua" w:eastAsia="Book Antiqua" w:hAnsi="Book Antiqua" w:cs="Book Antiqua"/>
          <w:sz w:val="24"/>
          <w:szCs w:val="24"/>
        </w:rPr>
        <w:t xml:space="preserve">. </w:t>
      </w:r>
      <w:hyperlink r:id="rId18">
        <w:r w:rsidR="005D690E">
          <w:rPr>
            <w:rFonts w:ascii="Book Antiqua" w:eastAsia="Book Antiqua" w:hAnsi="Book Antiqua" w:cs="Book Antiqua"/>
            <w:color w:val="0563C1"/>
            <w:sz w:val="24"/>
            <w:szCs w:val="24"/>
            <w:u w:val="single"/>
          </w:rPr>
          <w:t>https://www.bi.go.id</w:t>
        </w:r>
      </w:hyperlink>
    </w:p>
    <w:p w14:paraId="3CA222BF" w14:textId="77777777" w:rsidR="005D690E" w:rsidRPr="00AF5361" w:rsidRDefault="00000000">
      <w:pPr>
        <w:spacing w:after="100" w:line="300" w:lineRule="auto"/>
        <w:ind w:left="720"/>
        <w:jc w:val="both"/>
        <w:rPr>
          <w:rFonts w:ascii="Book Antiqua" w:eastAsia="Book Antiqua" w:hAnsi="Book Antiqua" w:cs="Book Antiqua"/>
          <w:sz w:val="24"/>
          <w:szCs w:val="24"/>
          <w:lang w:val="sv-SE"/>
        </w:rPr>
      </w:pPr>
      <w:r w:rsidRPr="00FB204F">
        <w:rPr>
          <w:rFonts w:ascii="Book Antiqua" w:eastAsia="Book Antiqua" w:hAnsi="Book Antiqua" w:cs="Book Antiqua"/>
          <w:sz w:val="24"/>
          <w:szCs w:val="24"/>
        </w:rPr>
        <w:t xml:space="preserve">Bank Indonesia. </w:t>
      </w:r>
      <w:r w:rsidRPr="00AF5361">
        <w:rPr>
          <w:rFonts w:ascii="Book Antiqua" w:eastAsia="Book Antiqua" w:hAnsi="Book Antiqua" w:cs="Book Antiqua"/>
          <w:sz w:val="24"/>
          <w:szCs w:val="24"/>
          <w:lang w:val="sv-SE"/>
        </w:rPr>
        <w:t xml:space="preserve">(2026, Februari 18). </w:t>
      </w:r>
      <w:r w:rsidRPr="00AF5361">
        <w:rPr>
          <w:rFonts w:ascii="Book Antiqua" w:eastAsia="Book Antiqua" w:hAnsi="Book Antiqua" w:cs="Book Antiqua"/>
          <w:i/>
          <w:iCs/>
          <w:sz w:val="24"/>
          <w:szCs w:val="24"/>
          <w:lang w:val="sv-SE"/>
        </w:rPr>
        <w:t>BI-Rate tetap 4,75%: Mendorong pertumbuhan ekonomi, mempertahankan stabilitas</w:t>
      </w:r>
      <w:r w:rsidRPr="00AF5361">
        <w:rPr>
          <w:rFonts w:ascii="Book Antiqua" w:eastAsia="Book Antiqua" w:hAnsi="Book Antiqua" w:cs="Book Antiqua"/>
          <w:sz w:val="24"/>
          <w:szCs w:val="24"/>
          <w:lang w:val="sv-SE"/>
        </w:rPr>
        <w:t xml:space="preserve"> [Siaran pers]. </w:t>
      </w:r>
      <w:hyperlink r:id="rId19">
        <w:r w:rsidR="005D690E" w:rsidRPr="00AF5361">
          <w:rPr>
            <w:rFonts w:ascii="Book Antiqua" w:eastAsia="Book Antiqua" w:hAnsi="Book Antiqua" w:cs="Book Antiqua"/>
            <w:color w:val="0563C1"/>
            <w:sz w:val="24"/>
            <w:szCs w:val="24"/>
            <w:u w:val="single"/>
            <w:lang w:val="sv-SE"/>
          </w:rPr>
          <w:t>https://www.bi.go.id</w:t>
        </w:r>
      </w:hyperlink>
    </w:p>
    <w:p w14:paraId="331BD94C" w14:textId="77777777" w:rsidR="005D690E" w:rsidRDefault="00000000">
      <w:pPr>
        <w:spacing w:after="100" w:line="300" w:lineRule="auto"/>
        <w:ind w:left="720"/>
        <w:jc w:val="both"/>
        <w:rPr>
          <w:rFonts w:ascii="Book Antiqua" w:eastAsia="Book Antiqua" w:hAnsi="Book Antiqua" w:cs="Book Antiqua"/>
          <w:sz w:val="24"/>
          <w:szCs w:val="24"/>
        </w:rPr>
      </w:pPr>
      <w:r w:rsidRPr="00AF5361">
        <w:rPr>
          <w:rFonts w:ascii="Book Antiqua" w:eastAsia="Book Antiqua" w:hAnsi="Book Antiqua" w:cs="Book Antiqua"/>
          <w:sz w:val="24"/>
          <w:szCs w:val="24"/>
          <w:lang w:val="sv-SE"/>
        </w:rPr>
        <w:t xml:space="preserve">Bisnis.com. (2026, Juni 8). </w:t>
      </w:r>
      <w:r w:rsidRPr="00AF5361">
        <w:rPr>
          <w:rFonts w:ascii="Book Antiqua" w:eastAsia="Book Antiqua" w:hAnsi="Book Antiqua" w:cs="Book Antiqua"/>
          <w:i/>
          <w:iCs/>
          <w:sz w:val="24"/>
          <w:szCs w:val="24"/>
          <w:lang w:val="sv-SE"/>
        </w:rPr>
        <w:t>Nilai tukar rupiah terhadap dolar AS hari ini Senin 8 Juni 2026</w:t>
      </w:r>
      <w:r w:rsidRPr="00AF5361">
        <w:rPr>
          <w:rFonts w:ascii="Book Antiqua" w:eastAsia="Book Antiqua" w:hAnsi="Book Antiqua" w:cs="Book Antiqua"/>
          <w:sz w:val="24"/>
          <w:szCs w:val="24"/>
          <w:lang w:val="sv-SE"/>
        </w:rPr>
        <w:t xml:space="preserve">. </w:t>
      </w:r>
      <w:r>
        <w:rPr>
          <w:rFonts w:ascii="Book Antiqua" w:eastAsia="Book Antiqua" w:hAnsi="Book Antiqua" w:cs="Book Antiqua"/>
          <w:sz w:val="24"/>
          <w:szCs w:val="24"/>
        </w:rPr>
        <w:t xml:space="preserve">Market </w:t>
      </w:r>
      <w:proofErr w:type="spellStart"/>
      <w:r>
        <w:rPr>
          <w:rFonts w:ascii="Book Antiqua" w:eastAsia="Book Antiqua" w:hAnsi="Book Antiqua" w:cs="Book Antiqua"/>
          <w:sz w:val="24"/>
          <w:szCs w:val="24"/>
        </w:rPr>
        <w:t>Bisnis</w:t>
      </w:r>
      <w:proofErr w:type="spellEnd"/>
      <w:r>
        <w:rPr>
          <w:rFonts w:ascii="Book Antiqua" w:eastAsia="Book Antiqua" w:hAnsi="Book Antiqua" w:cs="Book Antiqua"/>
          <w:sz w:val="24"/>
          <w:szCs w:val="24"/>
        </w:rPr>
        <w:t xml:space="preserve">. </w:t>
      </w:r>
      <w:hyperlink r:id="rId20">
        <w:r w:rsidR="005D690E">
          <w:rPr>
            <w:rFonts w:ascii="Book Antiqua" w:eastAsia="Book Antiqua" w:hAnsi="Book Antiqua" w:cs="Book Antiqua"/>
            <w:color w:val="0563C1"/>
            <w:sz w:val="24"/>
            <w:szCs w:val="24"/>
            <w:u w:val="single"/>
          </w:rPr>
          <w:t>https://market.bisnis.com</w:t>
        </w:r>
      </w:hyperlink>
    </w:p>
    <w:p w14:paraId="4E6BFF44" w14:textId="77777777" w:rsidR="005D690E" w:rsidRDefault="00000000">
      <w:pPr>
        <w:spacing w:after="100" w:line="300" w:lineRule="auto"/>
        <w:ind w:left="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Branson, W. H. (1983). </w:t>
      </w:r>
      <w:r>
        <w:rPr>
          <w:rFonts w:ascii="Book Antiqua" w:eastAsia="Book Antiqua" w:hAnsi="Book Antiqua" w:cs="Book Antiqua"/>
          <w:i/>
          <w:iCs/>
          <w:sz w:val="24"/>
          <w:szCs w:val="24"/>
        </w:rPr>
        <w:t>A model of exchange-rate determination with policy reaction: Evidence from monthly data</w:t>
      </w:r>
      <w:r>
        <w:rPr>
          <w:rFonts w:ascii="Book Antiqua" w:eastAsia="Book Antiqua" w:hAnsi="Book Antiqua" w:cs="Book Antiqua"/>
          <w:sz w:val="24"/>
          <w:szCs w:val="24"/>
        </w:rPr>
        <w:t xml:space="preserve"> (NBER Working Paper No. 1135). National Bureau of Economic Research. </w:t>
      </w:r>
      <w:hyperlink r:id="rId21">
        <w:r w:rsidR="005D690E">
          <w:rPr>
            <w:rFonts w:ascii="Book Antiqua" w:eastAsia="Book Antiqua" w:hAnsi="Book Antiqua" w:cs="Book Antiqua"/>
            <w:color w:val="0563C1"/>
            <w:sz w:val="24"/>
            <w:szCs w:val="24"/>
            <w:u w:val="single"/>
          </w:rPr>
          <w:t>https://doi.org/10.3386/w1135</w:t>
        </w:r>
      </w:hyperlink>
    </w:p>
    <w:p w14:paraId="202CB88F" w14:textId="77777777" w:rsidR="005D690E" w:rsidRDefault="00000000">
      <w:pPr>
        <w:spacing w:after="100" w:line="300" w:lineRule="auto"/>
        <w:ind w:left="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Bursa </w:t>
      </w:r>
      <w:proofErr w:type="spellStart"/>
      <w:r>
        <w:rPr>
          <w:rFonts w:ascii="Book Antiqua" w:eastAsia="Book Antiqua" w:hAnsi="Book Antiqua" w:cs="Book Antiqua"/>
          <w:sz w:val="24"/>
          <w:szCs w:val="24"/>
        </w:rPr>
        <w:t>Efek</w:t>
      </w:r>
      <w:proofErr w:type="spellEnd"/>
      <w:r>
        <w:rPr>
          <w:rFonts w:ascii="Book Antiqua" w:eastAsia="Book Antiqua" w:hAnsi="Book Antiqua" w:cs="Book Antiqua"/>
          <w:sz w:val="24"/>
          <w:szCs w:val="24"/>
        </w:rPr>
        <w:t xml:space="preserve"> Indonesia. (2025). </w:t>
      </w:r>
      <w:proofErr w:type="spellStart"/>
      <w:r>
        <w:rPr>
          <w:rFonts w:ascii="Book Antiqua" w:eastAsia="Book Antiqua" w:hAnsi="Book Antiqua" w:cs="Book Antiqua"/>
          <w:i/>
          <w:iCs/>
          <w:sz w:val="24"/>
          <w:szCs w:val="24"/>
        </w:rPr>
        <w:t>Indeks</w:t>
      </w:r>
      <w:proofErr w:type="spellEnd"/>
      <w:r>
        <w:rPr>
          <w:rFonts w:ascii="Book Antiqua" w:eastAsia="Book Antiqua" w:hAnsi="Book Antiqua" w:cs="Book Antiqua"/>
          <w:i/>
          <w:iCs/>
          <w:sz w:val="24"/>
          <w:szCs w:val="24"/>
        </w:rPr>
        <w:t xml:space="preserve"> </w:t>
      </w:r>
      <w:proofErr w:type="spellStart"/>
      <w:r>
        <w:rPr>
          <w:rFonts w:ascii="Book Antiqua" w:eastAsia="Book Antiqua" w:hAnsi="Book Antiqua" w:cs="Book Antiqua"/>
          <w:i/>
          <w:iCs/>
          <w:sz w:val="24"/>
          <w:szCs w:val="24"/>
        </w:rPr>
        <w:t>saham</w:t>
      </w:r>
      <w:proofErr w:type="spellEnd"/>
      <w:r>
        <w:rPr>
          <w:rFonts w:ascii="Book Antiqua" w:eastAsia="Book Antiqua" w:hAnsi="Book Antiqua" w:cs="Book Antiqua"/>
          <w:i/>
          <w:iCs/>
          <w:sz w:val="24"/>
          <w:szCs w:val="24"/>
        </w:rPr>
        <w:t xml:space="preserve"> syariah</w:t>
      </w:r>
      <w:r>
        <w:rPr>
          <w:rFonts w:ascii="Book Antiqua" w:eastAsia="Book Antiqua" w:hAnsi="Book Antiqua" w:cs="Book Antiqua"/>
          <w:sz w:val="24"/>
          <w:szCs w:val="24"/>
        </w:rPr>
        <w:t xml:space="preserve">. IDX Syariah. </w:t>
      </w:r>
      <w:hyperlink r:id="rId22">
        <w:r w:rsidR="005D690E">
          <w:rPr>
            <w:rFonts w:ascii="Book Antiqua" w:eastAsia="Book Antiqua" w:hAnsi="Book Antiqua" w:cs="Book Antiqua"/>
            <w:color w:val="0563C1"/>
            <w:sz w:val="24"/>
            <w:szCs w:val="24"/>
            <w:u w:val="single"/>
          </w:rPr>
          <w:t>https://www.idx.co.id/id/idx-syariah/indeks-saham-syariah</w:t>
        </w:r>
      </w:hyperlink>
    </w:p>
    <w:p w14:paraId="6EB10C28" w14:textId="77777777" w:rsidR="005D690E" w:rsidRDefault="00000000">
      <w:pPr>
        <w:spacing w:after="100" w:line="300" w:lineRule="auto"/>
        <w:ind w:left="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Bursa </w:t>
      </w:r>
      <w:proofErr w:type="spellStart"/>
      <w:r>
        <w:rPr>
          <w:rFonts w:ascii="Book Antiqua" w:eastAsia="Book Antiqua" w:hAnsi="Book Antiqua" w:cs="Book Antiqua"/>
          <w:sz w:val="24"/>
          <w:szCs w:val="24"/>
        </w:rPr>
        <w:t>Efek</w:t>
      </w:r>
      <w:proofErr w:type="spellEnd"/>
      <w:r>
        <w:rPr>
          <w:rFonts w:ascii="Book Antiqua" w:eastAsia="Book Antiqua" w:hAnsi="Book Antiqua" w:cs="Book Antiqua"/>
          <w:sz w:val="24"/>
          <w:szCs w:val="24"/>
        </w:rPr>
        <w:t xml:space="preserve"> Indonesia. </w:t>
      </w:r>
      <w:r w:rsidRPr="00FB204F">
        <w:rPr>
          <w:rFonts w:ascii="Book Antiqua" w:eastAsia="Book Antiqua" w:hAnsi="Book Antiqua" w:cs="Book Antiqua"/>
          <w:sz w:val="24"/>
          <w:szCs w:val="24"/>
          <w:lang w:val="sv-SE"/>
        </w:rPr>
        <w:t xml:space="preserve">(2025). </w:t>
      </w:r>
      <w:r w:rsidRPr="00FB204F">
        <w:rPr>
          <w:rFonts w:ascii="Book Antiqua" w:eastAsia="Book Antiqua" w:hAnsi="Book Antiqua" w:cs="Book Antiqua"/>
          <w:i/>
          <w:iCs/>
          <w:sz w:val="24"/>
          <w:szCs w:val="24"/>
          <w:lang w:val="sv-SE"/>
        </w:rPr>
        <w:t>Statistik pasar modal syariah</w:t>
      </w:r>
      <w:r w:rsidRPr="00FB204F">
        <w:rPr>
          <w:rFonts w:ascii="Book Antiqua" w:eastAsia="Book Antiqua" w:hAnsi="Book Antiqua" w:cs="Book Antiqua"/>
          <w:sz w:val="24"/>
          <w:szCs w:val="24"/>
          <w:lang w:val="sv-SE"/>
        </w:rPr>
        <w:t xml:space="preserve">. IDX Syariah. </w:t>
      </w:r>
      <w:hyperlink r:id="rId23">
        <w:r w:rsidR="005D690E">
          <w:rPr>
            <w:rFonts w:ascii="Book Antiqua" w:eastAsia="Book Antiqua" w:hAnsi="Book Antiqua" w:cs="Book Antiqua"/>
            <w:color w:val="0563C1"/>
            <w:sz w:val="24"/>
            <w:szCs w:val="24"/>
            <w:u w:val="single"/>
          </w:rPr>
          <w:t>https://www.idx.co.id/id/idx-syariah</w:t>
        </w:r>
      </w:hyperlink>
    </w:p>
    <w:p w14:paraId="192C3BF1" w14:textId="77777777" w:rsidR="005D690E" w:rsidRDefault="00000000">
      <w:pPr>
        <w:spacing w:after="100" w:line="300" w:lineRule="auto"/>
        <w:ind w:left="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Dornbusch, R., &amp; Fischer, S. (1980). Exchange rates and the current account. </w:t>
      </w:r>
      <w:r>
        <w:rPr>
          <w:rFonts w:ascii="Book Antiqua" w:eastAsia="Book Antiqua" w:hAnsi="Book Antiqua" w:cs="Book Antiqua"/>
          <w:i/>
          <w:iCs/>
          <w:sz w:val="24"/>
          <w:szCs w:val="24"/>
        </w:rPr>
        <w:t>The American Economic Review, 70</w:t>
      </w:r>
      <w:r>
        <w:rPr>
          <w:rFonts w:ascii="Book Antiqua" w:eastAsia="Book Antiqua" w:hAnsi="Book Antiqua" w:cs="Book Antiqua"/>
          <w:sz w:val="24"/>
          <w:szCs w:val="24"/>
        </w:rPr>
        <w:t>(5), 960–971.</w:t>
      </w:r>
    </w:p>
    <w:p w14:paraId="5104451F" w14:textId="77777777" w:rsidR="005D690E" w:rsidRDefault="00000000">
      <w:pPr>
        <w:spacing w:after="100" w:line="300" w:lineRule="auto"/>
        <w:ind w:left="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Engle, R. F., &amp; Granger, C. W. J. (1987). Co-integration and error correction: Representation, estimation, and testing. </w:t>
      </w:r>
      <w:proofErr w:type="spellStart"/>
      <w:r>
        <w:rPr>
          <w:rFonts w:ascii="Book Antiqua" w:eastAsia="Book Antiqua" w:hAnsi="Book Antiqua" w:cs="Book Antiqua"/>
          <w:i/>
          <w:iCs/>
          <w:sz w:val="24"/>
          <w:szCs w:val="24"/>
        </w:rPr>
        <w:t>Econometrica</w:t>
      </w:r>
      <w:proofErr w:type="spellEnd"/>
      <w:r>
        <w:rPr>
          <w:rFonts w:ascii="Book Antiqua" w:eastAsia="Book Antiqua" w:hAnsi="Book Antiqua" w:cs="Book Antiqua"/>
          <w:i/>
          <w:iCs/>
          <w:sz w:val="24"/>
          <w:szCs w:val="24"/>
        </w:rPr>
        <w:t>, 55</w:t>
      </w:r>
      <w:r>
        <w:rPr>
          <w:rFonts w:ascii="Book Antiqua" w:eastAsia="Book Antiqua" w:hAnsi="Book Antiqua" w:cs="Book Antiqua"/>
          <w:sz w:val="24"/>
          <w:szCs w:val="24"/>
        </w:rPr>
        <w:t xml:space="preserve">(2), 251–276. </w:t>
      </w:r>
      <w:hyperlink r:id="rId24">
        <w:r w:rsidR="005D690E">
          <w:rPr>
            <w:rFonts w:ascii="Book Antiqua" w:eastAsia="Book Antiqua" w:hAnsi="Book Antiqua" w:cs="Book Antiqua"/>
            <w:color w:val="0563C1"/>
            <w:sz w:val="24"/>
            <w:szCs w:val="24"/>
            <w:u w:val="single"/>
          </w:rPr>
          <w:t>https://doi.org/10.2307/1913236</w:t>
        </w:r>
      </w:hyperlink>
    </w:p>
    <w:p w14:paraId="2BDC956C" w14:textId="77777777" w:rsidR="005D690E" w:rsidRDefault="00000000">
      <w:pPr>
        <w:spacing w:after="100" w:line="300" w:lineRule="auto"/>
        <w:ind w:left="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Fama, E. F. (1970). Efficient capital markets: A review of theory and empirical work. </w:t>
      </w:r>
      <w:r>
        <w:rPr>
          <w:rFonts w:ascii="Book Antiqua" w:eastAsia="Book Antiqua" w:hAnsi="Book Antiqua" w:cs="Book Antiqua"/>
          <w:i/>
          <w:iCs/>
          <w:sz w:val="24"/>
          <w:szCs w:val="24"/>
        </w:rPr>
        <w:t>The Journal of Finance, 25</w:t>
      </w:r>
      <w:r>
        <w:rPr>
          <w:rFonts w:ascii="Book Antiqua" w:eastAsia="Book Antiqua" w:hAnsi="Book Antiqua" w:cs="Book Antiqua"/>
          <w:sz w:val="24"/>
          <w:szCs w:val="24"/>
        </w:rPr>
        <w:t xml:space="preserve">(2), 383–417. </w:t>
      </w:r>
      <w:hyperlink r:id="rId25">
        <w:r w:rsidR="005D690E">
          <w:rPr>
            <w:rFonts w:ascii="Book Antiqua" w:eastAsia="Book Antiqua" w:hAnsi="Book Antiqua" w:cs="Book Antiqua"/>
            <w:color w:val="0563C1"/>
            <w:sz w:val="24"/>
            <w:szCs w:val="24"/>
            <w:u w:val="single"/>
          </w:rPr>
          <w:t>https://doi.org/10.2307/2325486</w:t>
        </w:r>
      </w:hyperlink>
    </w:p>
    <w:p w14:paraId="485D1DEF" w14:textId="77777777" w:rsidR="005D690E" w:rsidRPr="00AF5361" w:rsidRDefault="00000000">
      <w:pPr>
        <w:spacing w:after="100" w:line="300" w:lineRule="auto"/>
        <w:ind w:left="720"/>
        <w:jc w:val="both"/>
        <w:rPr>
          <w:rFonts w:ascii="Book Antiqua" w:eastAsia="Book Antiqua" w:hAnsi="Book Antiqua" w:cs="Book Antiqua"/>
          <w:sz w:val="24"/>
          <w:szCs w:val="24"/>
          <w:lang w:val="sv-SE"/>
        </w:rPr>
      </w:pPr>
      <w:proofErr w:type="spellStart"/>
      <w:r>
        <w:rPr>
          <w:rFonts w:ascii="Book Antiqua" w:eastAsia="Book Antiqua" w:hAnsi="Book Antiqua" w:cs="Book Antiqua"/>
          <w:sz w:val="24"/>
          <w:szCs w:val="24"/>
        </w:rPr>
        <w:t>Fisamawati</w:t>
      </w:r>
      <w:proofErr w:type="spellEnd"/>
      <w:r>
        <w:rPr>
          <w:rFonts w:ascii="Book Antiqua" w:eastAsia="Book Antiqua" w:hAnsi="Book Antiqua" w:cs="Book Antiqua"/>
          <w:sz w:val="24"/>
          <w:szCs w:val="24"/>
        </w:rPr>
        <w:t xml:space="preserve">, H. (2025). </w:t>
      </w:r>
      <w:proofErr w:type="spellStart"/>
      <w:r>
        <w:rPr>
          <w:rFonts w:ascii="Book Antiqua" w:eastAsia="Book Antiqua" w:hAnsi="Book Antiqua" w:cs="Book Antiqua"/>
          <w:sz w:val="24"/>
          <w:szCs w:val="24"/>
        </w:rPr>
        <w:t>Pengaruh</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inflasi</w:t>
      </w:r>
      <w:proofErr w:type="spellEnd"/>
      <w:r>
        <w:rPr>
          <w:rFonts w:ascii="Book Antiqua" w:eastAsia="Book Antiqua" w:hAnsi="Book Antiqua" w:cs="Book Antiqua"/>
          <w:sz w:val="24"/>
          <w:szCs w:val="24"/>
        </w:rPr>
        <w:t xml:space="preserve"> dan </w:t>
      </w:r>
      <w:proofErr w:type="spellStart"/>
      <w:r>
        <w:rPr>
          <w:rFonts w:ascii="Book Antiqua" w:eastAsia="Book Antiqua" w:hAnsi="Book Antiqua" w:cs="Book Antiqua"/>
          <w:sz w:val="24"/>
          <w:szCs w:val="24"/>
        </w:rPr>
        <w:t>nilai</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tukar</w:t>
      </w:r>
      <w:proofErr w:type="spellEnd"/>
      <w:r>
        <w:rPr>
          <w:rFonts w:ascii="Book Antiqua" w:eastAsia="Book Antiqua" w:hAnsi="Book Antiqua" w:cs="Book Antiqua"/>
          <w:sz w:val="24"/>
          <w:szCs w:val="24"/>
        </w:rPr>
        <w:t xml:space="preserve"> rupiah </w:t>
      </w:r>
      <w:proofErr w:type="spellStart"/>
      <w:r>
        <w:rPr>
          <w:rFonts w:ascii="Book Antiqua" w:eastAsia="Book Antiqua" w:hAnsi="Book Antiqua" w:cs="Book Antiqua"/>
          <w:sz w:val="24"/>
          <w:szCs w:val="24"/>
        </w:rPr>
        <w:t>terhadap</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kinerja</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Indeks</w:t>
      </w:r>
      <w:proofErr w:type="spellEnd"/>
      <w:r>
        <w:rPr>
          <w:rFonts w:ascii="Book Antiqua" w:eastAsia="Book Antiqua" w:hAnsi="Book Antiqua" w:cs="Book Antiqua"/>
          <w:sz w:val="24"/>
          <w:szCs w:val="24"/>
        </w:rPr>
        <w:t xml:space="preserve"> Saham Syariah Indonesia (ISSI) di Bursa </w:t>
      </w:r>
      <w:proofErr w:type="spellStart"/>
      <w:r>
        <w:rPr>
          <w:rFonts w:ascii="Book Antiqua" w:eastAsia="Book Antiqua" w:hAnsi="Book Antiqua" w:cs="Book Antiqua"/>
          <w:sz w:val="24"/>
          <w:szCs w:val="24"/>
        </w:rPr>
        <w:t>Efek</w:t>
      </w:r>
      <w:proofErr w:type="spellEnd"/>
      <w:r>
        <w:rPr>
          <w:rFonts w:ascii="Book Antiqua" w:eastAsia="Book Antiqua" w:hAnsi="Book Antiqua" w:cs="Book Antiqua"/>
          <w:sz w:val="24"/>
          <w:szCs w:val="24"/>
        </w:rPr>
        <w:t xml:space="preserve"> Indonesia (BEI). </w:t>
      </w:r>
      <w:r w:rsidRPr="00AF5361">
        <w:rPr>
          <w:rFonts w:ascii="Book Antiqua" w:eastAsia="Book Antiqua" w:hAnsi="Book Antiqua" w:cs="Book Antiqua"/>
          <w:i/>
          <w:iCs/>
          <w:sz w:val="24"/>
          <w:szCs w:val="24"/>
          <w:lang w:val="sv-SE"/>
        </w:rPr>
        <w:t>Selekta Manajemen: Jurnal Mahasiswa Bisnis &amp; Manajemen, 3</w:t>
      </w:r>
      <w:r w:rsidRPr="00AF5361">
        <w:rPr>
          <w:rFonts w:ascii="Book Antiqua" w:eastAsia="Book Antiqua" w:hAnsi="Book Antiqua" w:cs="Book Antiqua"/>
          <w:sz w:val="24"/>
          <w:szCs w:val="24"/>
          <w:lang w:val="sv-SE"/>
        </w:rPr>
        <w:t xml:space="preserve">(2), 154–162. </w:t>
      </w:r>
      <w:hyperlink r:id="rId26">
        <w:r w:rsidR="005D690E" w:rsidRPr="00AF5361">
          <w:rPr>
            <w:rFonts w:ascii="Book Antiqua" w:eastAsia="Book Antiqua" w:hAnsi="Book Antiqua" w:cs="Book Antiqua"/>
            <w:color w:val="0563C1"/>
            <w:sz w:val="24"/>
            <w:szCs w:val="24"/>
            <w:u w:val="single"/>
            <w:lang w:val="sv-SE"/>
          </w:rPr>
          <w:t>https://journal.uii.ac.id/selma/article/view/42290</w:t>
        </w:r>
      </w:hyperlink>
    </w:p>
    <w:p w14:paraId="37524187" w14:textId="77777777" w:rsidR="005D690E" w:rsidRDefault="00000000">
      <w:pPr>
        <w:spacing w:after="100" w:line="300" w:lineRule="auto"/>
        <w:ind w:left="720"/>
        <w:jc w:val="both"/>
        <w:rPr>
          <w:rFonts w:ascii="Book Antiqua" w:eastAsia="Book Antiqua" w:hAnsi="Book Antiqua" w:cs="Book Antiqua"/>
          <w:sz w:val="24"/>
          <w:szCs w:val="24"/>
        </w:rPr>
      </w:pPr>
      <w:r>
        <w:rPr>
          <w:rFonts w:ascii="Book Antiqua" w:eastAsia="Book Antiqua" w:hAnsi="Book Antiqua" w:cs="Book Antiqua"/>
          <w:sz w:val="24"/>
          <w:szCs w:val="24"/>
        </w:rPr>
        <w:lastRenderedPageBreak/>
        <w:t xml:space="preserve">Frankel, J. A. (1983). Monetary and portfolio-balance models of exchange rate determination. In J. S. Bhandari &amp; B. H. Putnam (Eds.), </w:t>
      </w:r>
      <w:r>
        <w:rPr>
          <w:rFonts w:ascii="Book Antiqua" w:eastAsia="Book Antiqua" w:hAnsi="Book Antiqua" w:cs="Book Antiqua"/>
          <w:i/>
          <w:iCs/>
          <w:sz w:val="24"/>
          <w:szCs w:val="24"/>
        </w:rPr>
        <w:t>Economic interdependence and flexible exchange rates</w:t>
      </w:r>
      <w:r>
        <w:rPr>
          <w:rFonts w:ascii="Book Antiqua" w:eastAsia="Book Antiqua" w:hAnsi="Book Antiqua" w:cs="Book Antiqua"/>
          <w:sz w:val="24"/>
          <w:szCs w:val="24"/>
        </w:rPr>
        <w:t xml:space="preserve"> (pp. 84–115). MIT Press.</w:t>
      </w:r>
    </w:p>
    <w:p w14:paraId="69A89A81" w14:textId="77777777" w:rsidR="005D690E" w:rsidRDefault="00000000">
      <w:pPr>
        <w:spacing w:after="100" w:line="300" w:lineRule="auto"/>
        <w:ind w:left="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Granger, C. W. J., &amp; Newbold, P. (1974). Spurious regressions in econometrics. </w:t>
      </w:r>
      <w:r>
        <w:rPr>
          <w:rFonts w:ascii="Book Antiqua" w:eastAsia="Book Antiqua" w:hAnsi="Book Antiqua" w:cs="Book Antiqua"/>
          <w:i/>
          <w:iCs/>
          <w:sz w:val="24"/>
          <w:szCs w:val="24"/>
        </w:rPr>
        <w:t>Journal of Econometrics, 2</w:t>
      </w:r>
      <w:r>
        <w:rPr>
          <w:rFonts w:ascii="Book Antiqua" w:eastAsia="Book Antiqua" w:hAnsi="Book Antiqua" w:cs="Book Antiqua"/>
          <w:sz w:val="24"/>
          <w:szCs w:val="24"/>
        </w:rPr>
        <w:t xml:space="preserve">(2), 111–120. </w:t>
      </w:r>
      <w:hyperlink r:id="rId27">
        <w:r w:rsidR="005D690E">
          <w:rPr>
            <w:rFonts w:ascii="Book Antiqua" w:eastAsia="Book Antiqua" w:hAnsi="Book Antiqua" w:cs="Book Antiqua"/>
            <w:color w:val="0563C1"/>
            <w:sz w:val="24"/>
            <w:szCs w:val="24"/>
            <w:u w:val="single"/>
          </w:rPr>
          <w:t>https://doi.org/10.1016/0304-4076(74)90034-7</w:t>
        </w:r>
      </w:hyperlink>
    </w:p>
    <w:p w14:paraId="043C2521" w14:textId="77777777" w:rsidR="005D690E" w:rsidRPr="00AF5361" w:rsidRDefault="00000000">
      <w:pPr>
        <w:spacing w:after="100" w:line="300" w:lineRule="auto"/>
        <w:ind w:left="720"/>
        <w:jc w:val="both"/>
        <w:rPr>
          <w:rFonts w:ascii="Book Antiqua" w:eastAsia="Book Antiqua" w:hAnsi="Book Antiqua" w:cs="Book Antiqua"/>
          <w:sz w:val="24"/>
          <w:szCs w:val="24"/>
          <w:lang w:val="sv-SE"/>
        </w:rPr>
      </w:pPr>
      <w:r w:rsidRPr="00FB204F">
        <w:rPr>
          <w:rFonts w:ascii="Book Antiqua" w:eastAsia="Book Antiqua" w:hAnsi="Book Antiqua" w:cs="Book Antiqua"/>
          <w:sz w:val="24"/>
          <w:szCs w:val="24"/>
        </w:rPr>
        <w:t xml:space="preserve">Kementerian Perdagangan Republik Indonesia. </w:t>
      </w:r>
      <w:r w:rsidRPr="00AF5361">
        <w:rPr>
          <w:rFonts w:ascii="Book Antiqua" w:eastAsia="Book Antiqua" w:hAnsi="Book Antiqua" w:cs="Book Antiqua"/>
          <w:sz w:val="24"/>
          <w:szCs w:val="24"/>
          <w:lang w:val="sv-SE"/>
        </w:rPr>
        <w:t xml:space="preserve">(2024). </w:t>
      </w:r>
      <w:r w:rsidRPr="00AF5361">
        <w:rPr>
          <w:rFonts w:ascii="Book Antiqua" w:eastAsia="Book Antiqua" w:hAnsi="Book Antiqua" w:cs="Book Antiqua"/>
          <w:i/>
          <w:iCs/>
          <w:sz w:val="24"/>
          <w:szCs w:val="24"/>
          <w:lang w:val="sv-SE"/>
        </w:rPr>
        <w:t>Nilai tukar mata uang asing terhadap rupiah</w:t>
      </w:r>
      <w:r w:rsidRPr="00AF5361">
        <w:rPr>
          <w:rFonts w:ascii="Book Antiqua" w:eastAsia="Book Antiqua" w:hAnsi="Book Antiqua" w:cs="Book Antiqua"/>
          <w:sz w:val="24"/>
          <w:szCs w:val="24"/>
          <w:lang w:val="sv-SE"/>
        </w:rPr>
        <w:t xml:space="preserve">. Satu Data Perdagangan. </w:t>
      </w:r>
      <w:hyperlink r:id="rId28">
        <w:r w:rsidR="005D690E" w:rsidRPr="00AF5361">
          <w:rPr>
            <w:rFonts w:ascii="Book Antiqua" w:eastAsia="Book Antiqua" w:hAnsi="Book Antiqua" w:cs="Book Antiqua"/>
            <w:color w:val="0563C1"/>
            <w:sz w:val="24"/>
            <w:szCs w:val="24"/>
            <w:u w:val="single"/>
            <w:lang w:val="sv-SE"/>
          </w:rPr>
          <w:t>https://satudata.kemendag.go.id</w:t>
        </w:r>
      </w:hyperlink>
    </w:p>
    <w:p w14:paraId="1269036F" w14:textId="77777777" w:rsidR="005D690E" w:rsidRPr="00AF5361" w:rsidRDefault="00000000">
      <w:pPr>
        <w:spacing w:after="100" w:line="300" w:lineRule="auto"/>
        <w:ind w:left="720"/>
        <w:jc w:val="both"/>
        <w:rPr>
          <w:rFonts w:ascii="Book Antiqua" w:eastAsia="Book Antiqua" w:hAnsi="Book Antiqua" w:cs="Book Antiqua"/>
          <w:sz w:val="24"/>
          <w:szCs w:val="24"/>
          <w:lang w:val="sv-SE"/>
        </w:rPr>
      </w:pPr>
      <w:r w:rsidRPr="00AF5361">
        <w:rPr>
          <w:rFonts w:ascii="Book Antiqua" w:eastAsia="Book Antiqua" w:hAnsi="Book Antiqua" w:cs="Book Antiqua"/>
          <w:sz w:val="24"/>
          <w:szCs w:val="24"/>
          <w:lang w:val="sv-SE"/>
        </w:rPr>
        <w:t xml:space="preserve">Khotimah, H., Aszari, A. A., Salsabila, P., &amp; Apridasari, E. (2025). Pengaruh tingkat inflasi dan nilai tukar (kurs) terhadap Indeks Saham Syariah Indonesia (ISSI) tahun 2021–2024. </w:t>
      </w:r>
      <w:r w:rsidRPr="00AF5361">
        <w:rPr>
          <w:rFonts w:ascii="Book Antiqua" w:eastAsia="Book Antiqua" w:hAnsi="Book Antiqua" w:cs="Book Antiqua"/>
          <w:i/>
          <w:iCs/>
          <w:sz w:val="24"/>
          <w:szCs w:val="24"/>
          <w:lang w:val="sv-SE"/>
        </w:rPr>
        <w:t>Jejak Digital: Jurnal Ilmiah Multidisiplin, 1</w:t>
      </w:r>
      <w:r w:rsidRPr="00AF5361">
        <w:rPr>
          <w:rFonts w:ascii="Book Antiqua" w:eastAsia="Book Antiqua" w:hAnsi="Book Antiqua" w:cs="Book Antiqua"/>
          <w:sz w:val="24"/>
          <w:szCs w:val="24"/>
          <w:lang w:val="sv-SE"/>
        </w:rPr>
        <w:t xml:space="preserve">(3), 306–317. </w:t>
      </w:r>
      <w:hyperlink r:id="rId29">
        <w:r w:rsidR="005D690E" w:rsidRPr="00AF5361">
          <w:rPr>
            <w:rFonts w:ascii="Book Antiqua" w:eastAsia="Book Antiqua" w:hAnsi="Book Antiqua" w:cs="Book Antiqua"/>
            <w:color w:val="0563C1"/>
            <w:sz w:val="24"/>
            <w:szCs w:val="24"/>
            <w:u w:val="single"/>
            <w:lang w:val="sv-SE"/>
          </w:rPr>
          <w:t>https://doi.org/10.63822/jsss4746</w:t>
        </w:r>
      </w:hyperlink>
    </w:p>
    <w:p w14:paraId="61B585C0" w14:textId="77777777" w:rsidR="005D690E" w:rsidRDefault="00000000">
      <w:pPr>
        <w:spacing w:after="100" w:line="300" w:lineRule="auto"/>
        <w:ind w:left="720"/>
        <w:jc w:val="both"/>
        <w:rPr>
          <w:rFonts w:ascii="Book Antiqua" w:eastAsia="Book Antiqua" w:hAnsi="Book Antiqua" w:cs="Book Antiqua"/>
          <w:sz w:val="24"/>
          <w:szCs w:val="24"/>
        </w:rPr>
      </w:pPr>
      <w:r w:rsidRPr="00AF5361">
        <w:rPr>
          <w:rFonts w:ascii="Book Antiqua" w:eastAsia="Book Antiqua" w:hAnsi="Book Antiqua" w:cs="Book Antiqua"/>
          <w:sz w:val="24"/>
          <w:szCs w:val="24"/>
          <w:lang w:val="sv-SE"/>
        </w:rPr>
        <w:t xml:space="preserve">Kim, K. (2003). </w:t>
      </w:r>
      <w:r>
        <w:rPr>
          <w:rFonts w:ascii="Book Antiqua" w:eastAsia="Book Antiqua" w:hAnsi="Book Antiqua" w:cs="Book Antiqua"/>
          <w:sz w:val="24"/>
          <w:szCs w:val="24"/>
        </w:rPr>
        <w:t xml:space="preserve">Dollar exchange rate and stock price: Evidence from multivariate cointegration and error correction model. </w:t>
      </w:r>
      <w:r>
        <w:rPr>
          <w:rFonts w:ascii="Book Antiqua" w:eastAsia="Book Antiqua" w:hAnsi="Book Antiqua" w:cs="Book Antiqua"/>
          <w:i/>
          <w:iCs/>
          <w:sz w:val="24"/>
          <w:szCs w:val="24"/>
        </w:rPr>
        <w:t>Review of Financial Economics, 12</w:t>
      </w:r>
      <w:r>
        <w:rPr>
          <w:rFonts w:ascii="Book Antiqua" w:eastAsia="Book Antiqua" w:hAnsi="Book Antiqua" w:cs="Book Antiqua"/>
          <w:sz w:val="24"/>
          <w:szCs w:val="24"/>
        </w:rPr>
        <w:t xml:space="preserve">(3), 301–313. </w:t>
      </w:r>
      <w:hyperlink r:id="rId30">
        <w:r w:rsidR="005D690E">
          <w:rPr>
            <w:rFonts w:ascii="Book Antiqua" w:eastAsia="Book Antiqua" w:hAnsi="Book Antiqua" w:cs="Book Antiqua"/>
            <w:color w:val="0563C1"/>
            <w:sz w:val="24"/>
            <w:szCs w:val="24"/>
            <w:u w:val="single"/>
          </w:rPr>
          <w:t>https://doi.org/10.1016/S1058-3300(03)00026-0</w:t>
        </w:r>
      </w:hyperlink>
    </w:p>
    <w:p w14:paraId="0BD8FB15" w14:textId="77777777" w:rsidR="005D690E" w:rsidRPr="00AF5361" w:rsidRDefault="00000000">
      <w:pPr>
        <w:spacing w:after="100" w:line="300" w:lineRule="auto"/>
        <w:ind w:left="720"/>
        <w:jc w:val="both"/>
        <w:rPr>
          <w:rFonts w:ascii="Book Antiqua" w:eastAsia="Book Antiqua" w:hAnsi="Book Antiqua" w:cs="Book Antiqua"/>
          <w:sz w:val="24"/>
          <w:szCs w:val="24"/>
          <w:lang w:val="sv-SE"/>
        </w:rPr>
      </w:pPr>
      <w:r>
        <w:rPr>
          <w:rFonts w:ascii="Book Antiqua" w:eastAsia="Book Antiqua" w:hAnsi="Book Antiqua" w:cs="Book Antiqua"/>
          <w:sz w:val="24"/>
          <w:szCs w:val="24"/>
        </w:rPr>
        <w:t xml:space="preserve">Madura, J. (2021). </w:t>
      </w:r>
      <w:r>
        <w:rPr>
          <w:rFonts w:ascii="Book Antiqua" w:eastAsia="Book Antiqua" w:hAnsi="Book Antiqua" w:cs="Book Antiqua"/>
          <w:i/>
          <w:iCs/>
          <w:sz w:val="24"/>
          <w:szCs w:val="24"/>
        </w:rPr>
        <w:t>International financial management</w:t>
      </w:r>
      <w:r>
        <w:rPr>
          <w:rFonts w:ascii="Book Antiqua" w:eastAsia="Book Antiqua" w:hAnsi="Book Antiqua" w:cs="Book Antiqua"/>
          <w:sz w:val="24"/>
          <w:szCs w:val="24"/>
        </w:rPr>
        <w:t xml:space="preserve"> (14th ed.). </w:t>
      </w:r>
      <w:r w:rsidRPr="00AF5361">
        <w:rPr>
          <w:rFonts w:ascii="Book Antiqua" w:eastAsia="Book Antiqua" w:hAnsi="Book Antiqua" w:cs="Book Antiqua"/>
          <w:sz w:val="24"/>
          <w:szCs w:val="24"/>
          <w:lang w:val="sv-SE"/>
        </w:rPr>
        <w:t>Cengage Learning.</w:t>
      </w:r>
    </w:p>
    <w:p w14:paraId="1E25106D" w14:textId="77777777" w:rsidR="005D690E" w:rsidRDefault="00000000">
      <w:pPr>
        <w:spacing w:after="100" w:line="300" w:lineRule="auto"/>
        <w:ind w:left="720"/>
        <w:jc w:val="both"/>
        <w:rPr>
          <w:rFonts w:ascii="Book Antiqua" w:eastAsia="Book Antiqua" w:hAnsi="Book Antiqua" w:cs="Book Antiqua"/>
          <w:sz w:val="24"/>
          <w:szCs w:val="24"/>
        </w:rPr>
      </w:pPr>
      <w:r w:rsidRPr="00AF5361">
        <w:rPr>
          <w:rFonts w:ascii="Book Antiqua" w:eastAsia="Book Antiqua" w:hAnsi="Book Antiqua" w:cs="Book Antiqua"/>
          <w:sz w:val="24"/>
          <w:szCs w:val="24"/>
          <w:lang w:val="sv-SE"/>
        </w:rPr>
        <w:t xml:space="preserve">Otoritas Jasa Keuangan. (2017). </w:t>
      </w:r>
      <w:r w:rsidRPr="00AF5361">
        <w:rPr>
          <w:rFonts w:ascii="Book Antiqua" w:eastAsia="Book Antiqua" w:hAnsi="Book Antiqua" w:cs="Book Antiqua"/>
          <w:i/>
          <w:iCs/>
          <w:sz w:val="24"/>
          <w:szCs w:val="24"/>
          <w:lang w:val="sv-SE"/>
        </w:rPr>
        <w:t>Peraturan Otoritas Jasa Keuangan Nomor 35/POJK.04/2017 tentang Kriteria dan Penerbitan Daftar Efek Syariah</w:t>
      </w:r>
      <w:r w:rsidRPr="00AF5361">
        <w:rPr>
          <w:rFonts w:ascii="Book Antiqua" w:eastAsia="Book Antiqua" w:hAnsi="Book Antiqua" w:cs="Book Antiqua"/>
          <w:sz w:val="24"/>
          <w:szCs w:val="24"/>
          <w:lang w:val="sv-SE"/>
        </w:rPr>
        <w:t xml:space="preserve">. </w:t>
      </w:r>
      <w:hyperlink r:id="rId31">
        <w:r w:rsidR="005D690E">
          <w:rPr>
            <w:rFonts w:ascii="Book Antiqua" w:eastAsia="Book Antiqua" w:hAnsi="Book Antiqua" w:cs="Book Antiqua"/>
            <w:color w:val="0563C1"/>
            <w:sz w:val="24"/>
            <w:szCs w:val="24"/>
            <w:u w:val="single"/>
          </w:rPr>
          <w:t>https://www.ojk.go.id</w:t>
        </w:r>
      </w:hyperlink>
    </w:p>
    <w:p w14:paraId="0EF3D721" w14:textId="77777777" w:rsidR="005D690E" w:rsidRDefault="00000000">
      <w:pPr>
        <w:spacing w:after="100" w:line="300" w:lineRule="auto"/>
        <w:ind w:left="720"/>
        <w:jc w:val="both"/>
        <w:rPr>
          <w:rFonts w:ascii="Book Antiqua" w:eastAsia="Book Antiqua" w:hAnsi="Book Antiqua" w:cs="Book Antiqua"/>
          <w:sz w:val="24"/>
          <w:szCs w:val="24"/>
        </w:rPr>
      </w:pPr>
      <w:proofErr w:type="spellStart"/>
      <w:r>
        <w:rPr>
          <w:rFonts w:ascii="Book Antiqua" w:eastAsia="Book Antiqua" w:hAnsi="Book Antiqua" w:cs="Book Antiqua"/>
          <w:sz w:val="24"/>
          <w:szCs w:val="24"/>
        </w:rPr>
        <w:t>Phylaktis</w:t>
      </w:r>
      <w:proofErr w:type="spellEnd"/>
      <w:r>
        <w:rPr>
          <w:rFonts w:ascii="Book Antiqua" w:eastAsia="Book Antiqua" w:hAnsi="Book Antiqua" w:cs="Book Antiqua"/>
          <w:sz w:val="24"/>
          <w:szCs w:val="24"/>
        </w:rPr>
        <w:t xml:space="preserve">, K., &amp; </w:t>
      </w:r>
      <w:proofErr w:type="spellStart"/>
      <w:r>
        <w:rPr>
          <w:rFonts w:ascii="Book Antiqua" w:eastAsia="Book Antiqua" w:hAnsi="Book Antiqua" w:cs="Book Antiqua"/>
          <w:sz w:val="24"/>
          <w:szCs w:val="24"/>
        </w:rPr>
        <w:t>Ravazzolo</w:t>
      </w:r>
      <w:proofErr w:type="spellEnd"/>
      <w:r>
        <w:rPr>
          <w:rFonts w:ascii="Book Antiqua" w:eastAsia="Book Antiqua" w:hAnsi="Book Antiqua" w:cs="Book Antiqua"/>
          <w:sz w:val="24"/>
          <w:szCs w:val="24"/>
        </w:rPr>
        <w:t xml:space="preserve">, F. (2005). Stock prices and exchange rate dynamics. </w:t>
      </w:r>
      <w:r>
        <w:rPr>
          <w:rFonts w:ascii="Book Antiqua" w:eastAsia="Book Antiqua" w:hAnsi="Book Antiqua" w:cs="Book Antiqua"/>
          <w:i/>
          <w:iCs/>
          <w:sz w:val="24"/>
          <w:szCs w:val="24"/>
        </w:rPr>
        <w:t>Journal of International Money and Finance, 24</w:t>
      </w:r>
      <w:r>
        <w:rPr>
          <w:rFonts w:ascii="Book Antiqua" w:eastAsia="Book Antiqua" w:hAnsi="Book Antiqua" w:cs="Book Antiqua"/>
          <w:sz w:val="24"/>
          <w:szCs w:val="24"/>
        </w:rPr>
        <w:t xml:space="preserve">(7), 1031–1053. </w:t>
      </w:r>
      <w:hyperlink r:id="rId32">
        <w:r w:rsidR="005D690E">
          <w:rPr>
            <w:rFonts w:ascii="Book Antiqua" w:eastAsia="Book Antiqua" w:hAnsi="Book Antiqua" w:cs="Book Antiqua"/>
            <w:color w:val="0563C1"/>
            <w:sz w:val="24"/>
            <w:szCs w:val="24"/>
            <w:u w:val="single"/>
          </w:rPr>
          <w:t>https://doi.org/10.1016/j.jimonfin.2005.08.001</w:t>
        </w:r>
      </w:hyperlink>
    </w:p>
    <w:p w14:paraId="3B90C2F0" w14:textId="77777777" w:rsidR="005D690E" w:rsidRDefault="00000000">
      <w:pPr>
        <w:spacing w:after="100" w:line="300" w:lineRule="auto"/>
        <w:ind w:left="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Ross, S. A. (1976). The arbitrage theory of capital asset pricing. </w:t>
      </w:r>
      <w:r>
        <w:rPr>
          <w:rFonts w:ascii="Book Antiqua" w:eastAsia="Book Antiqua" w:hAnsi="Book Antiqua" w:cs="Book Antiqua"/>
          <w:i/>
          <w:iCs/>
          <w:sz w:val="24"/>
          <w:szCs w:val="24"/>
        </w:rPr>
        <w:t>Journal of Economic Theory, 13</w:t>
      </w:r>
      <w:r>
        <w:rPr>
          <w:rFonts w:ascii="Book Antiqua" w:eastAsia="Book Antiqua" w:hAnsi="Book Antiqua" w:cs="Book Antiqua"/>
          <w:sz w:val="24"/>
          <w:szCs w:val="24"/>
        </w:rPr>
        <w:t xml:space="preserve">(3), 341–360. </w:t>
      </w:r>
      <w:hyperlink r:id="rId33">
        <w:r w:rsidR="005D690E">
          <w:rPr>
            <w:rFonts w:ascii="Book Antiqua" w:eastAsia="Book Antiqua" w:hAnsi="Book Antiqua" w:cs="Book Antiqua"/>
            <w:color w:val="0563C1"/>
            <w:sz w:val="24"/>
            <w:szCs w:val="24"/>
            <w:u w:val="single"/>
          </w:rPr>
          <w:t>https://doi.org/10.1016/0022-0531(76)90046-6</w:t>
        </w:r>
      </w:hyperlink>
    </w:p>
    <w:p w14:paraId="3B9342A3" w14:textId="77777777" w:rsidR="005D690E" w:rsidRPr="00AF5361" w:rsidRDefault="00000000">
      <w:pPr>
        <w:spacing w:after="100" w:line="300" w:lineRule="auto"/>
        <w:ind w:left="720"/>
        <w:jc w:val="both"/>
        <w:rPr>
          <w:rFonts w:ascii="Book Antiqua" w:eastAsia="Book Antiqua" w:hAnsi="Book Antiqua" w:cs="Book Antiqua"/>
          <w:sz w:val="24"/>
          <w:szCs w:val="24"/>
          <w:lang w:val="sv-SE"/>
        </w:rPr>
      </w:pPr>
      <w:proofErr w:type="spellStart"/>
      <w:r>
        <w:rPr>
          <w:rFonts w:ascii="Book Antiqua" w:eastAsia="Book Antiqua" w:hAnsi="Book Antiqua" w:cs="Book Antiqua"/>
          <w:sz w:val="24"/>
          <w:szCs w:val="24"/>
        </w:rPr>
        <w:t>Suciningtias</w:t>
      </w:r>
      <w:proofErr w:type="spellEnd"/>
      <w:r>
        <w:rPr>
          <w:rFonts w:ascii="Book Antiqua" w:eastAsia="Book Antiqua" w:hAnsi="Book Antiqua" w:cs="Book Antiqua"/>
          <w:sz w:val="24"/>
          <w:szCs w:val="24"/>
        </w:rPr>
        <w:t xml:space="preserve">, S. A., &amp; </w:t>
      </w:r>
      <w:proofErr w:type="spellStart"/>
      <w:r>
        <w:rPr>
          <w:rFonts w:ascii="Book Antiqua" w:eastAsia="Book Antiqua" w:hAnsi="Book Antiqua" w:cs="Book Antiqua"/>
          <w:sz w:val="24"/>
          <w:szCs w:val="24"/>
        </w:rPr>
        <w:t>Khoiroh</w:t>
      </w:r>
      <w:proofErr w:type="spellEnd"/>
      <w:r>
        <w:rPr>
          <w:rFonts w:ascii="Book Antiqua" w:eastAsia="Book Antiqua" w:hAnsi="Book Antiqua" w:cs="Book Antiqua"/>
          <w:sz w:val="24"/>
          <w:szCs w:val="24"/>
        </w:rPr>
        <w:t xml:space="preserve">, R. (2015). </w:t>
      </w:r>
      <w:proofErr w:type="spellStart"/>
      <w:r>
        <w:rPr>
          <w:rFonts w:ascii="Book Antiqua" w:eastAsia="Book Antiqua" w:hAnsi="Book Antiqua" w:cs="Book Antiqua"/>
          <w:sz w:val="24"/>
          <w:szCs w:val="24"/>
        </w:rPr>
        <w:t>Analisis</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dampak</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variabel</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makro</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ekonomi</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terhadap</w:t>
      </w:r>
      <w:proofErr w:type="spellEnd"/>
      <w:r>
        <w:rPr>
          <w:rFonts w:ascii="Book Antiqua" w:eastAsia="Book Antiqua" w:hAnsi="Book Antiqua" w:cs="Book Antiqua"/>
          <w:sz w:val="24"/>
          <w:szCs w:val="24"/>
        </w:rPr>
        <w:t xml:space="preserve"> </w:t>
      </w:r>
      <w:proofErr w:type="spellStart"/>
      <w:r>
        <w:rPr>
          <w:rFonts w:ascii="Book Antiqua" w:eastAsia="Book Antiqua" w:hAnsi="Book Antiqua" w:cs="Book Antiqua"/>
          <w:sz w:val="24"/>
          <w:szCs w:val="24"/>
        </w:rPr>
        <w:t>Indeks</w:t>
      </w:r>
      <w:proofErr w:type="spellEnd"/>
      <w:r>
        <w:rPr>
          <w:rFonts w:ascii="Book Antiqua" w:eastAsia="Book Antiqua" w:hAnsi="Book Antiqua" w:cs="Book Antiqua"/>
          <w:sz w:val="24"/>
          <w:szCs w:val="24"/>
        </w:rPr>
        <w:t xml:space="preserve"> Saham Syariah Indonesia (ISSI). </w:t>
      </w:r>
      <w:r>
        <w:rPr>
          <w:rFonts w:ascii="Book Antiqua" w:eastAsia="Book Antiqua" w:hAnsi="Book Antiqua" w:cs="Book Antiqua"/>
          <w:i/>
          <w:iCs/>
          <w:sz w:val="24"/>
          <w:szCs w:val="24"/>
        </w:rPr>
        <w:t>2nd Conference in Business, Accounting, and Management (CBAM), 2</w:t>
      </w:r>
      <w:r>
        <w:rPr>
          <w:rFonts w:ascii="Book Antiqua" w:eastAsia="Book Antiqua" w:hAnsi="Book Antiqua" w:cs="Book Antiqua"/>
          <w:sz w:val="24"/>
          <w:szCs w:val="24"/>
        </w:rPr>
        <w:t xml:space="preserve">(1), 398–412. </w:t>
      </w:r>
      <w:r w:rsidRPr="00AF5361">
        <w:rPr>
          <w:rFonts w:ascii="Book Antiqua" w:eastAsia="Book Antiqua" w:hAnsi="Book Antiqua" w:cs="Book Antiqua"/>
          <w:sz w:val="24"/>
          <w:szCs w:val="24"/>
          <w:lang w:val="sv-SE"/>
        </w:rPr>
        <w:t xml:space="preserve">Universitas Islam Sultan Agung. </w:t>
      </w:r>
      <w:hyperlink r:id="rId34">
        <w:r w:rsidR="005D690E" w:rsidRPr="00AF5361">
          <w:rPr>
            <w:rFonts w:ascii="Book Antiqua" w:eastAsia="Book Antiqua" w:hAnsi="Book Antiqua" w:cs="Book Antiqua"/>
            <w:color w:val="0563C1"/>
            <w:sz w:val="24"/>
            <w:szCs w:val="24"/>
            <w:u w:val="single"/>
            <w:lang w:val="sv-SE"/>
          </w:rPr>
          <w:t>https://jurnal.unissula.ac.id/index.php/cbam/article/view/323</w:t>
        </w:r>
      </w:hyperlink>
    </w:p>
    <w:p w14:paraId="1B702BB4" w14:textId="77777777" w:rsidR="005D690E" w:rsidRPr="00AF5361" w:rsidRDefault="00000000">
      <w:pPr>
        <w:spacing w:after="100" w:line="300" w:lineRule="auto"/>
        <w:ind w:left="720"/>
        <w:jc w:val="both"/>
        <w:rPr>
          <w:rFonts w:ascii="Book Antiqua" w:eastAsia="Book Antiqua" w:hAnsi="Book Antiqua" w:cs="Book Antiqua"/>
          <w:sz w:val="24"/>
          <w:szCs w:val="24"/>
          <w:lang w:val="sv-SE"/>
        </w:rPr>
      </w:pPr>
      <w:r w:rsidRPr="00AF5361">
        <w:rPr>
          <w:rFonts w:ascii="Book Antiqua" w:eastAsia="Book Antiqua" w:hAnsi="Book Antiqua" w:cs="Book Antiqua"/>
          <w:sz w:val="24"/>
          <w:szCs w:val="24"/>
          <w:lang w:val="sv-SE"/>
        </w:rPr>
        <w:lastRenderedPageBreak/>
        <w:t xml:space="preserve">Sugeng, R., Sebriani, R., Muliana, M., Syamsuddin, S., Abbas, M., &amp; Hadrianti, V. (2024). Analisis pengaruh BI rate dan inflasi terhadap Indeks Saham Syariah Indonesia (ISSI) periode 2017–2020. </w:t>
      </w:r>
      <w:r w:rsidRPr="00AF5361">
        <w:rPr>
          <w:rFonts w:ascii="Book Antiqua" w:eastAsia="Book Antiqua" w:hAnsi="Book Antiqua" w:cs="Book Antiqua"/>
          <w:i/>
          <w:iCs/>
          <w:sz w:val="24"/>
          <w:szCs w:val="24"/>
          <w:lang w:val="sv-SE"/>
        </w:rPr>
        <w:t>Jurnal Ilmiah Ekonomi Islam, 10</w:t>
      </w:r>
      <w:r w:rsidRPr="00AF5361">
        <w:rPr>
          <w:rFonts w:ascii="Book Antiqua" w:eastAsia="Book Antiqua" w:hAnsi="Book Antiqua" w:cs="Book Antiqua"/>
          <w:sz w:val="24"/>
          <w:szCs w:val="24"/>
          <w:lang w:val="sv-SE"/>
        </w:rPr>
        <w:t xml:space="preserve">(1), 166. </w:t>
      </w:r>
      <w:hyperlink r:id="rId35">
        <w:r w:rsidR="005D690E" w:rsidRPr="00AF5361">
          <w:rPr>
            <w:rFonts w:ascii="Book Antiqua" w:eastAsia="Book Antiqua" w:hAnsi="Book Antiqua" w:cs="Book Antiqua"/>
            <w:color w:val="0563C1"/>
            <w:sz w:val="24"/>
            <w:szCs w:val="24"/>
            <w:u w:val="single"/>
            <w:lang w:val="sv-SE"/>
          </w:rPr>
          <w:t>https://doi.org/10.29040/jiei.v10i1.12087</w:t>
        </w:r>
      </w:hyperlink>
    </w:p>
    <w:p w14:paraId="39494C9E" w14:textId="77777777" w:rsidR="005D690E" w:rsidRPr="00AF5361" w:rsidRDefault="00000000">
      <w:pPr>
        <w:spacing w:after="100" w:line="300" w:lineRule="auto"/>
        <w:ind w:left="720"/>
        <w:jc w:val="both"/>
        <w:rPr>
          <w:rFonts w:ascii="Book Antiqua" w:eastAsia="Book Antiqua" w:hAnsi="Book Antiqua" w:cs="Book Antiqua"/>
          <w:sz w:val="24"/>
          <w:szCs w:val="24"/>
          <w:lang w:val="sv-SE"/>
        </w:rPr>
      </w:pPr>
      <w:r w:rsidRPr="00AF5361">
        <w:rPr>
          <w:rFonts w:ascii="Book Antiqua" w:eastAsia="Book Antiqua" w:hAnsi="Book Antiqua" w:cs="Book Antiqua"/>
          <w:sz w:val="24"/>
          <w:szCs w:val="24"/>
          <w:lang w:val="sv-SE"/>
        </w:rPr>
        <w:t xml:space="preserve">Sugiyono. (2019). </w:t>
      </w:r>
      <w:r w:rsidRPr="00AF5361">
        <w:rPr>
          <w:rFonts w:ascii="Book Antiqua" w:eastAsia="Book Antiqua" w:hAnsi="Book Antiqua" w:cs="Book Antiqua"/>
          <w:i/>
          <w:iCs/>
          <w:sz w:val="24"/>
          <w:szCs w:val="24"/>
          <w:lang w:val="sv-SE"/>
        </w:rPr>
        <w:t>Metode penelitian kuantitatif, kualitatif, dan R&amp;D</w:t>
      </w:r>
      <w:r w:rsidRPr="00AF5361">
        <w:rPr>
          <w:rFonts w:ascii="Book Antiqua" w:eastAsia="Book Antiqua" w:hAnsi="Book Antiqua" w:cs="Book Antiqua"/>
          <w:sz w:val="24"/>
          <w:szCs w:val="24"/>
          <w:lang w:val="sv-SE"/>
        </w:rPr>
        <w:t>. Alfabeta.</w:t>
      </w:r>
    </w:p>
    <w:p w14:paraId="4C0D1407" w14:textId="77777777" w:rsidR="005D690E" w:rsidRDefault="00000000">
      <w:pPr>
        <w:spacing w:after="100" w:line="300" w:lineRule="auto"/>
        <w:ind w:left="720"/>
        <w:jc w:val="both"/>
        <w:rPr>
          <w:rFonts w:ascii="Book Antiqua" w:eastAsia="Book Antiqua" w:hAnsi="Book Antiqua" w:cs="Book Antiqua"/>
          <w:sz w:val="24"/>
          <w:szCs w:val="24"/>
        </w:rPr>
      </w:pPr>
      <w:r w:rsidRPr="00AF5361">
        <w:rPr>
          <w:rFonts w:ascii="Book Antiqua" w:eastAsia="Book Antiqua" w:hAnsi="Book Antiqua" w:cs="Book Antiqua"/>
          <w:sz w:val="24"/>
          <w:szCs w:val="24"/>
          <w:lang w:val="sv-SE"/>
        </w:rPr>
        <w:t xml:space="preserve">Tandelilin, E. (2010). </w:t>
      </w:r>
      <w:r w:rsidRPr="00AF5361">
        <w:rPr>
          <w:rFonts w:ascii="Book Antiqua" w:eastAsia="Book Antiqua" w:hAnsi="Book Antiqua" w:cs="Book Antiqua"/>
          <w:i/>
          <w:iCs/>
          <w:sz w:val="24"/>
          <w:szCs w:val="24"/>
          <w:lang w:val="sv-SE"/>
        </w:rPr>
        <w:t>Portofolio dan investasi: Teori dan aplikasi</w:t>
      </w:r>
      <w:r w:rsidRPr="00AF5361">
        <w:rPr>
          <w:rFonts w:ascii="Book Antiqua" w:eastAsia="Book Antiqua" w:hAnsi="Book Antiqua" w:cs="Book Antiqua"/>
          <w:sz w:val="24"/>
          <w:szCs w:val="24"/>
          <w:lang w:val="sv-SE"/>
        </w:rPr>
        <w:t xml:space="preserve"> (Edisi pertama). </w:t>
      </w:r>
      <w:r>
        <w:rPr>
          <w:rFonts w:ascii="Book Antiqua" w:eastAsia="Book Antiqua" w:hAnsi="Book Antiqua" w:cs="Book Antiqua"/>
          <w:sz w:val="24"/>
          <w:szCs w:val="24"/>
        </w:rPr>
        <w:t>Kanisius.</w:t>
      </w:r>
    </w:p>
    <w:p w14:paraId="2CC62716" w14:textId="77777777" w:rsidR="005D690E" w:rsidRDefault="00000000">
      <w:pPr>
        <w:spacing w:after="100" w:line="300" w:lineRule="auto"/>
        <w:ind w:left="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Trading Economics. (2026). </w:t>
      </w:r>
      <w:r>
        <w:rPr>
          <w:rFonts w:ascii="Book Antiqua" w:eastAsia="Book Antiqua" w:hAnsi="Book Antiqua" w:cs="Book Antiqua"/>
          <w:i/>
          <w:iCs/>
          <w:sz w:val="24"/>
          <w:szCs w:val="24"/>
        </w:rPr>
        <w:t>Indonesian rupiah</w:t>
      </w:r>
      <w:r>
        <w:rPr>
          <w:rFonts w:ascii="Book Antiqua" w:eastAsia="Book Antiqua" w:hAnsi="Book Antiqua" w:cs="Book Antiqua"/>
          <w:sz w:val="24"/>
          <w:szCs w:val="24"/>
        </w:rPr>
        <w:t xml:space="preserve">. </w:t>
      </w:r>
      <w:hyperlink r:id="rId36">
        <w:r w:rsidR="005D690E">
          <w:rPr>
            <w:rFonts w:ascii="Book Antiqua" w:eastAsia="Book Antiqua" w:hAnsi="Book Antiqua" w:cs="Book Antiqua"/>
            <w:color w:val="0563C1"/>
            <w:sz w:val="24"/>
            <w:szCs w:val="24"/>
            <w:u w:val="single"/>
          </w:rPr>
          <w:t>https://tradingeconomics.com/indonesia/currency</w:t>
        </w:r>
      </w:hyperlink>
    </w:p>
    <w:p w14:paraId="48D648F7" w14:textId="77777777" w:rsidR="005D690E" w:rsidRDefault="00000000">
      <w:pPr>
        <w:spacing w:after="100" w:line="300" w:lineRule="auto"/>
        <w:ind w:left="720"/>
        <w:jc w:val="both"/>
        <w:rPr>
          <w:rFonts w:ascii="Book Antiqua" w:eastAsia="Book Antiqua" w:hAnsi="Book Antiqua" w:cs="Book Antiqua"/>
          <w:sz w:val="24"/>
          <w:szCs w:val="24"/>
        </w:rPr>
      </w:pPr>
      <w:r>
        <w:rPr>
          <w:rFonts w:ascii="Book Antiqua" w:eastAsia="Book Antiqua" w:hAnsi="Book Antiqua" w:cs="Book Antiqua"/>
          <w:sz w:val="24"/>
          <w:szCs w:val="24"/>
        </w:rPr>
        <w:t xml:space="preserve">Universitas Andalas. </w:t>
      </w:r>
      <w:r w:rsidRPr="00AF5361">
        <w:rPr>
          <w:rFonts w:ascii="Book Antiqua" w:eastAsia="Book Antiqua" w:hAnsi="Book Antiqua" w:cs="Book Antiqua"/>
          <w:sz w:val="24"/>
          <w:szCs w:val="24"/>
          <w:lang w:val="sv-SE"/>
        </w:rPr>
        <w:t xml:space="preserve">(2026, Mei 12). </w:t>
      </w:r>
      <w:r w:rsidRPr="00AF5361">
        <w:rPr>
          <w:rFonts w:ascii="Book Antiqua" w:eastAsia="Book Antiqua" w:hAnsi="Book Antiqua" w:cs="Book Antiqua"/>
          <w:i/>
          <w:iCs/>
          <w:sz w:val="24"/>
          <w:szCs w:val="24"/>
          <w:lang w:val="sv-SE"/>
        </w:rPr>
        <w:t>Neraca pembayaran dan stabilitas nilai tukar rupiah: Ancaman bagi ekonomi Indonesia 2026?</w:t>
      </w:r>
      <w:r w:rsidRPr="00AF5361">
        <w:rPr>
          <w:rFonts w:ascii="Book Antiqua" w:eastAsia="Book Antiqua" w:hAnsi="Book Antiqua" w:cs="Book Antiqua"/>
          <w:sz w:val="24"/>
          <w:szCs w:val="24"/>
          <w:lang w:val="sv-SE"/>
        </w:rPr>
        <w:t xml:space="preserve"> </w:t>
      </w:r>
      <w:hyperlink r:id="rId37">
        <w:r w:rsidR="005D690E">
          <w:rPr>
            <w:rFonts w:ascii="Book Antiqua" w:eastAsia="Book Antiqua" w:hAnsi="Book Antiqua" w:cs="Book Antiqua"/>
            <w:color w:val="0563C1"/>
            <w:sz w:val="24"/>
            <w:szCs w:val="24"/>
            <w:u w:val="single"/>
          </w:rPr>
          <w:t>https://www.unand.ac.id</w:t>
        </w:r>
      </w:hyperlink>
    </w:p>
    <w:p w14:paraId="5FB9FAA1" w14:textId="77777777" w:rsidR="005D690E" w:rsidRDefault="00000000">
      <w:pPr>
        <w:spacing w:after="0" w:line="240" w:lineRule="auto"/>
        <w:jc w:val="center"/>
        <w:rPr>
          <w:rFonts w:ascii="Book Antiqua" w:eastAsia="Book Antiqua" w:hAnsi="Book Antiqua" w:cs="Book Antiqua"/>
          <w:b/>
          <w:bCs/>
          <w:color w:val="000000"/>
          <w:sz w:val="24"/>
          <w:szCs w:val="24"/>
        </w:rPr>
      </w:pPr>
      <w:r>
        <w:rPr>
          <w:rFonts w:ascii="Book Antiqua" w:eastAsia="Book Antiqua" w:hAnsi="Book Antiqua" w:cs="Book Antiqua"/>
          <w:b/>
          <w:bCs/>
          <w:color w:val="000000"/>
          <w:sz w:val="24"/>
          <w:szCs w:val="24"/>
        </w:rPr>
        <w:t>Copyright holders:</w:t>
      </w:r>
    </w:p>
    <w:p w14:paraId="7CD0D697" w14:textId="77777777" w:rsidR="005D690E" w:rsidRDefault="00000000">
      <w:pPr>
        <w:spacing w:line="240" w:lineRule="auto"/>
        <w:jc w:val="center"/>
        <w:rPr>
          <w:rFonts w:ascii="Book Antiqua" w:eastAsia="Book Antiqua" w:hAnsi="Book Antiqua" w:cs="Book Antiqua"/>
          <w:b/>
          <w:bCs/>
          <w:color w:val="000000"/>
          <w:sz w:val="24"/>
          <w:szCs w:val="24"/>
        </w:rPr>
      </w:pPr>
      <w:r>
        <w:rPr>
          <w:rFonts w:ascii="Book Antiqua" w:eastAsia="Book Antiqua" w:hAnsi="Book Antiqua" w:cs="Book Antiqua"/>
          <w:b/>
          <w:bCs/>
          <w:color w:val="000000"/>
          <w:sz w:val="24"/>
          <w:szCs w:val="24"/>
        </w:rPr>
        <w:t>Author’s Name (Year)</w:t>
      </w:r>
    </w:p>
    <w:p w14:paraId="72C55278" w14:textId="77777777" w:rsidR="005D690E" w:rsidRDefault="00000000">
      <w:pPr>
        <w:spacing w:after="0" w:line="240" w:lineRule="auto"/>
        <w:jc w:val="center"/>
        <w:rPr>
          <w:rFonts w:ascii="Book Antiqua" w:eastAsia="Book Antiqua" w:hAnsi="Book Antiqua" w:cs="Book Antiqua"/>
          <w:b/>
          <w:bCs/>
          <w:color w:val="000000"/>
          <w:sz w:val="24"/>
          <w:szCs w:val="24"/>
        </w:rPr>
      </w:pPr>
      <w:r>
        <w:rPr>
          <w:rFonts w:ascii="Book Antiqua" w:eastAsia="Book Antiqua" w:hAnsi="Book Antiqua" w:cs="Book Antiqua"/>
          <w:b/>
          <w:bCs/>
          <w:color w:val="000000"/>
          <w:sz w:val="24"/>
          <w:szCs w:val="24"/>
        </w:rPr>
        <w:t>First publication right:</w:t>
      </w:r>
    </w:p>
    <w:p w14:paraId="16F9A9ED" w14:textId="77777777" w:rsidR="005D690E" w:rsidRDefault="00000000">
      <w:pPr>
        <w:spacing w:line="240" w:lineRule="auto"/>
        <w:jc w:val="center"/>
        <w:rPr>
          <w:rFonts w:ascii="Book Antiqua" w:eastAsia="Book Antiqua" w:hAnsi="Book Antiqua" w:cs="Book Antiqua"/>
          <w:b/>
          <w:bCs/>
          <w:color w:val="000000"/>
          <w:sz w:val="24"/>
          <w:szCs w:val="24"/>
        </w:rPr>
      </w:pPr>
      <w:proofErr w:type="spellStart"/>
      <w:r>
        <w:rPr>
          <w:rFonts w:ascii="Book Antiqua" w:eastAsia="Book Antiqua" w:hAnsi="Book Antiqua" w:cs="Book Antiqua"/>
          <w:b/>
          <w:bCs/>
          <w:color w:val="000000"/>
          <w:sz w:val="24"/>
          <w:szCs w:val="24"/>
        </w:rPr>
        <w:t>Hawalah</w:t>
      </w:r>
      <w:proofErr w:type="spellEnd"/>
      <w:r>
        <w:rPr>
          <w:rFonts w:ascii="Book Antiqua" w:eastAsia="Book Antiqua" w:hAnsi="Book Antiqua" w:cs="Book Antiqua"/>
          <w:b/>
          <w:bCs/>
          <w:color w:val="000000"/>
          <w:sz w:val="24"/>
          <w:szCs w:val="24"/>
        </w:rPr>
        <w:t xml:space="preserve"> – Kajian </w:t>
      </w:r>
      <w:proofErr w:type="spellStart"/>
      <w:r>
        <w:rPr>
          <w:rFonts w:ascii="Book Antiqua" w:eastAsia="Book Antiqua" w:hAnsi="Book Antiqua" w:cs="Book Antiqua"/>
          <w:b/>
          <w:bCs/>
          <w:color w:val="000000"/>
          <w:sz w:val="24"/>
          <w:szCs w:val="24"/>
        </w:rPr>
        <w:t>Ilmu</w:t>
      </w:r>
      <w:proofErr w:type="spellEnd"/>
      <w:r>
        <w:rPr>
          <w:rFonts w:ascii="Book Antiqua" w:eastAsia="Book Antiqua" w:hAnsi="Book Antiqua" w:cs="Book Antiqua"/>
          <w:b/>
          <w:bCs/>
          <w:color w:val="000000"/>
          <w:sz w:val="24"/>
          <w:szCs w:val="24"/>
        </w:rPr>
        <w:t xml:space="preserve"> Manajemen, Ekonomi dan </w:t>
      </w:r>
      <w:proofErr w:type="spellStart"/>
      <w:r>
        <w:rPr>
          <w:rFonts w:ascii="Book Antiqua" w:eastAsia="Book Antiqua" w:hAnsi="Book Antiqua" w:cs="Book Antiqua"/>
          <w:b/>
          <w:bCs/>
          <w:color w:val="000000"/>
          <w:sz w:val="24"/>
          <w:szCs w:val="24"/>
        </w:rPr>
        <w:t>Bisnis</w:t>
      </w:r>
      <w:proofErr w:type="spellEnd"/>
    </w:p>
    <w:p w14:paraId="02F8A4F8" w14:textId="77777777" w:rsidR="005D690E" w:rsidRDefault="00000000">
      <w:pPr>
        <w:spacing w:line="240" w:lineRule="auto"/>
        <w:jc w:val="center"/>
        <w:rPr>
          <w:rFonts w:ascii="Book Antiqua" w:eastAsia="Book Antiqua" w:hAnsi="Book Antiqua" w:cs="Book Antiqua"/>
          <w:b/>
          <w:bCs/>
          <w:color w:val="000000"/>
          <w:sz w:val="24"/>
          <w:szCs w:val="24"/>
        </w:rPr>
      </w:pPr>
      <w:r>
        <w:rPr>
          <w:rFonts w:ascii="Book Antiqua" w:eastAsia="Book Antiqua" w:hAnsi="Book Antiqua" w:cs="Book Antiqua"/>
          <w:b/>
          <w:bCs/>
          <w:noProof/>
          <w:color w:val="000000"/>
          <w:sz w:val="24"/>
          <w:szCs w:val="24"/>
        </w:rPr>
        <w:drawing>
          <wp:inline distT="0" distB="0" distL="0" distR="0" wp14:anchorId="065406F2" wp14:editId="609B2371">
            <wp:extent cx="838200" cy="295275"/>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8"/>
                    <a:srcRect/>
                    <a:stretch>
                      <a:fillRect/>
                    </a:stretch>
                  </pic:blipFill>
                  <pic:spPr>
                    <a:xfrm>
                      <a:off x="0" y="0"/>
                      <a:ext cx="838200" cy="295275"/>
                    </a:xfrm>
                    <a:prstGeom prst="rect">
                      <a:avLst/>
                    </a:prstGeom>
                    <a:ln/>
                  </pic:spPr>
                </pic:pic>
              </a:graphicData>
            </a:graphic>
          </wp:inline>
        </w:drawing>
      </w:r>
    </w:p>
    <w:p w14:paraId="17DD7698" w14:textId="77777777" w:rsidR="005D690E" w:rsidRDefault="00000000">
      <w:pPr>
        <w:spacing w:line="240" w:lineRule="auto"/>
        <w:jc w:val="center"/>
        <w:rPr>
          <w:rFonts w:ascii="Book Antiqua" w:eastAsia="Book Antiqua" w:hAnsi="Book Antiqua" w:cs="Book Antiqua"/>
          <w:b/>
          <w:bCs/>
          <w:color w:val="000000"/>
          <w:sz w:val="24"/>
          <w:szCs w:val="24"/>
        </w:rPr>
      </w:pPr>
      <w:r>
        <w:rPr>
          <w:rFonts w:ascii="Book Antiqua" w:eastAsia="Book Antiqua" w:hAnsi="Book Antiqua" w:cs="Book Antiqua"/>
          <w:b/>
          <w:bCs/>
          <w:color w:val="000000"/>
          <w:sz w:val="24"/>
          <w:szCs w:val="24"/>
        </w:rPr>
        <w:t>This article is licensed under a </w:t>
      </w:r>
      <w:hyperlink r:id="rId39">
        <w:r w:rsidR="005D690E">
          <w:rPr>
            <w:rFonts w:ascii="Book Antiqua" w:eastAsia="Book Antiqua" w:hAnsi="Book Antiqua" w:cs="Book Antiqua"/>
            <w:b/>
            <w:bCs/>
            <w:color w:val="000000"/>
            <w:sz w:val="24"/>
            <w:szCs w:val="24"/>
            <w:u w:val="single"/>
          </w:rPr>
          <w:t>Creative Commons Attribution-</w:t>
        </w:r>
        <w:proofErr w:type="spellStart"/>
        <w:r w:rsidR="005D690E">
          <w:rPr>
            <w:rFonts w:ascii="Book Antiqua" w:eastAsia="Book Antiqua" w:hAnsi="Book Antiqua" w:cs="Book Antiqua"/>
            <w:b/>
            <w:bCs/>
            <w:color w:val="000000"/>
            <w:sz w:val="24"/>
            <w:szCs w:val="24"/>
            <w:u w:val="single"/>
          </w:rPr>
          <w:t>ShareAlike</w:t>
        </w:r>
        <w:proofErr w:type="spellEnd"/>
        <w:r w:rsidR="005D690E">
          <w:rPr>
            <w:rFonts w:ascii="Book Antiqua" w:eastAsia="Book Antiqua" w:hAnsi="Book Antiqua" w:cs="Book Antiqua"/>
            <w:b/>
            <w:bCs/>
            <w:color w:val="000000"/>
            <w:sz w:val="24"/>
            <w:szCs w:val="24"/>
            <w:u w:val="single"/>
          </w:rPr>
          <w:t xml:space="preserve"> 4.0 International</w:t>
        </w:r>
      </w:hyperlink>
    </w:p>
    <w:p w14:paraId="261B570D" w14:textId="77777777" w:rsidR="005D690E" w:rsidRDefault="005D690E">
      <w:pPr>
        <w:spacing w:line="240" w:lineRule="auto"/>
        <w:jc w:val="center"/>
        <w:rPr>
          <w:rFonts w:ascii="Book Antiqua" w:eastAsia="Book Antiqua" w:hAnsi="Book Antiqua" w:cs="Book Antiqua"/>
          <w:b/>
          <w:bCs/>
          <w:color w:val="000000"/>
          <w:sz w:val="24"/>
          <w:szCs w:val="24"/>
        </w:rPr>
      </w:pPr>
    </w:p>
    <w:p w14:paraId="01E75030" w14:textId="77777777" w:rsidR="005D690E" w:rsidRDefault="005D690E">
      <w:pPr>
        <w:spacing w:line="240" w:lineRule="auto"/>
        <w:ind w:left="567"/>
        <w:rPr>
          <w:rFonts w:ascii="Book Antiqua" w:eastAsia="Book Antiqua" w:hAnsi="Book Antiqua" w:cs="Book Antiqua"/>
          <w:sz w:val="24"/>
          <w:szCs w:val="24"/>
        </w:rPr>
      </w:pPr>
    </w:p>
    <w:sectPr w:rsidR="005D690E" w:rsidSect="00FB204F">
      <w:headerReference w:type="even" r:id="rId40"/>
      <w:headerReference w:type="default" r:id="rId41"/>
      <w:footerReference w:type="even" r:id="rId42"/>
      <w:footerReference w:type="default" r:id="rId43"/>
      <w:headerReference w:type="first" r:id="rId44"/>
      <w:footerReference w:type="first" r:id="rId45"/>
      <w:pgSz w:w="11906" w:h="16838"/>
      <w:pgMar w:top="1188" w:right="1440" w:bottom="1440" w:left="1440" w:header="709" w:footer="709" w:gutter="0"/>
      <w:pgNumType w:start="57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6415C2" w14:textId="77777777" w:rsidR="00D11480" w:rsidRDefault="00D11480">
      <w:pPr>
        <w:spacing w:after="0" w:line="240" w:lineRule="auto"/>
      </w:pPr>
      <w:r>
        <w:separator/>
      </w:r>
    </w:p>
  </w:endnote>
  <w:endnote w:type="continuationSeparator" w:id="0">
    <w:p w14:paraId="4F84CAA9" w14:textId="77777777" w:rsidR="00D11480" w:rsidRDefault="00D11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3C82771-E75F-A248-BA27-5677EFEE9C76}"/>
  </w:font>
  <w:font w:name="Calibri">
    <w:panose1 w:val="020F0502020204030204"/>
    <w:charset w:val="00"/>
    <w:family w:val="swiss"/>
    <w:pitch w:val="variable"/>
    <w:sig w:usb0="E4002EFF" w:usb1="C000247B" w:usb2="00000009" w:usb3="00000000" w:csb0="000001FF" w:csb1="00000000"/>
    <w:embedRegular r:id="rId2" w:fontKey="{A8CA1B7A-9D3A-CD40-8296-216DD10DF583}"/>
    <w:embedBold r:id="rId3" w:fontKey="{E6260771-25BE-4C42-B990-4242E77D45B8}"/>
  </w:font>
  <w:font w:name="Quattrocento Sans">
    <w:panose1 w:val="020B0502050000020003"/>
    <w:charset w:val="00"/>
    <w:family w:val="swiss"/>
    <w:pitch w:val="variable"/>
    <w:sig w:usb0="800000BF" w:usb1="4000005B" w:usb2="00000000" w:usb3="00000000" w:csb0="00000001" w:csb1="00000000"/>
    <w:embedBold r:id="rId4" w:fontKey="{B932C143-5F87-0141-B7FB-BE9780959BDC}"/>
  </w:font>
  <w:font w:name="Tahoma">
    <w:panose1 w:val="020B0604030504040204"/>
    <w:charset w:val="00"/>
    <w:family w:val="swiss"/>
    <w:pitch w:val="variable"/>
    <w:sig w:usb0="E1002EFF" w:usb1="C000605B" w:usb2="00000029" w:usb3="00000000" w:csb0="000101FF" w:csb1="00000000"/>
    <w:embedBold r:id="rId5" w:fontKey="{2EA39DDB-96A2-1245-A094-372DE61F2B11}"/>
  </w:font>
  <w:font w:name="Georgia">
    <w:panose1 w:val="02040502050405020303"/>
    <w:charset w:val="00"/>
    <w:family w:val="roman"/>
    <w:pitch w:val="variable"/>
    <w:sig w:usb0="00000287" w:usb1="00000000" w:usb2="00000000" w:usb3="00000000" w:csb0="0000009F" w:csb1="00000000"/>
    <w:embedItalic r:id="rId6" w:fontKey="{3CA7EB18-83F5-8347-AA2E-8CA60EC494D8}"/>
  </w:font>
  <w:font w:name="Book Antiqua">
    <w:panose1 w:val="02040602050305030304"/>
    <w:charset w:val="00"/>
    <w:family w:val="roman"/>
    <w:pitch w:val="variable"/>
    <w:sig w:usb0="00000287" w:usb1="00000000" w:usb2="00000000" w:usb3="00000000" w:csb0="0000009F" w:csb1="00000000"/>
    <w:embedRegular r:id="rId7" w:fontKey="{741B41A6-624F-D040-84EF-5C6753F7468E}"/>
    <w:embedBold r:id="rId8" w:fontKey="{554C16C6-BA0C-3844-93C1-26AF4488DFE6}"/>
    <w:embedItalic r:id="rId9" w:fontKey="{C18DC565-6EF6-6641-B6FB-3154F5AAEB91}"/>
  </w:font>
  <w:font w:name="Cambria">
    <w:panose1 w:val="02040503050406030204"/>
    <w:charset w:val="00"/>
    <w:family w:val="roman"/>
    <w:pitch w:val="variable"/>
    <w:sig w:usb0="E00002FF" w:usb1="400004FF" w:usb2="00000000" w:usb3="00000000" w:csb0="0000019F" w:csb1="00000000"/>
    <w:embedRegular r:id="rId10" w:fontKey="{79B12188-0564-A548-A720-A166F4AF3C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FE6FDE" w14:textId="77777777" w:rsidR="005D690E" w:rsidRDefault="005D690E">
    <w:pPr>
      <w:widowControl w:val="0"/>
      <w:pBdr>
        <w:top w:val="nil"/>
        <w:left w:val="nil"/>
        <w:bottom w:val="nil"/>
        <w:right w:val="nil"/>
        <w:between w:val="nil"/>
      </w:pBdr>
      <w:spacing w:after="0"/>
      <w:rPr>
        <w:color w:val="000000"/>
      </w:rPr>
    </w:pPr>
  </w:p>
  <w:tbl>
    <w:tblPr>
      <w:tblStyle w:val="ab"/>
      <w:tblW w:w="9256" w:type="dxa"/>
      <w:tblInd w:w="-115" w:type="dxa"/>
      <w:tblLayout w:type="fixed"/>
      <w:tblLook w:val="0400" w:firstRow="0" w:lastRow="0" w:firstColumn="0" w:lastColumn="0" w:noHBand="0" w:noVBand="1"/>
    </w:tblPr>
    <w:tblGrid>
      <w:gridCol w:w="926"/>
      <w:gridCol w:w="8330"/>
    </w:tblGrid>
    <w:tr w:rsidR="005D690E" w:rsidRPr="00AF5361" w14:paraId="1C76A8D0" w14:textId="77777777">
      <w:tc>
        <w:tcPr>
          <w:tcW w:w="926" w:type="dxa"/>
          <w:tcBorders>
            <w:top w:val="single" w:sz="4" w:space="0" w:color="943734"/>
            <w:left w:val="nil"/>
            <w:bottom w:val="nil"/>
            <w:right w:val="nil"/>
          </w:tcBorders>
          <w:shd w:val="clear" w:color="auto" w:fill="00B050"/>
        </w:tcPr>
        <w:p w14:paraId="4B1684D2" w14:textId="77777777" w:rsidR="005D690E" w:rsidRDefault="00000000">
          <w:pPr>
            <w:pBdr>
              <w:top w:val="nil"/>
              <w:left w:val="nil"/>
              <w:bottom w:val="nil"/>
              <w:right w:val="nil"/>
              <w:between w:val="nil"/>
            </w:pBdr>
            <w:tabs>
              <w:tab w:val="center" w:pos="4513"/>
              <w:tab w:val="right" w:pos="9026"/>
            </w:tabs>
            <w:spacing w:after="0"/>
            <w:jc w:val="right"/>
            <w:rPr>
              <w:rFonts w:ascii="Book Antiqua" w:eastAsia="Book Antiqua" w:hAnsi="Book Antiqua" w:cs="Book Antiqua"/>
              <w:b/>
              <w:bCs/>
              <w:color w:val="FFFFFF"/>
            </w:rPr>
          </w:pPr>
          <w:r>
            <w:rPr>
              <w:rFonts w:ascii="Book Antiqua" w:eastAsia="Book Antiqua" w:hAnsi="Book Antiqua" w:cs="Book Antiqua"/>
              <w:color w:val="000000"/>
            </w:rPr>
            <w:fldChar w:fldCharType="begin"/>
          </w:r>
          <w:r>
            <w:rPr>
              <w:rFonts w:ascii="Book Antiqua" w:eastAsia="Book Antiqua" w:hAnsi="Book Antiqua" w:cs="Book Antiqua"/>
              <w:color w:val="000000"/>
            </w:rPr>
            <w:instrText>PAGE</w:instrText>
          </w:r>
          <w:r>
            <w:rPr>
              <w:rFonts w:ascii="Book Antiqua" w:eastAsia="Book Antiqua" w:hAnsi="Book Antiqua" w:cs="Book Antiqua"/>
              <w:color w:val="000000"/>
            </w:rPr>
            <w:fldChar w:fldCharType="separate"/>
          </w:r>
          <w:r w:rsidR="00AF5361">
            <w:rPr>
              <w:rFonts w:ascii="Book Antiqua" w:eastAsia="Book Antiqua" w:hAnsi="Book Antiqua" w:cs="Book Antiqua"/>
              <w:noProof/>
              <w:color w:val="000000"/>
            </w:rPr>
            <w:t>2</w:t>
          </w:r>
          <w:r>
            <w:rPr>
              <w:rFonts w:ascii="Book Antiqua" w:eastAsia="Book Antiqua" w:hAnsi="Book Antiqua" w:cs="Book Antiqua"/>
              <w:color w:val="000000"/>
            </w:rPr>
            <w:fldChar w:fldCharType="end"/>
          </w:r>
        </w:p>
      </w:tc>
      <w:tc>
        <w:tcPr>
          <w:tcW w:w="8330" w:type="dxa"/>
          <w:tcBorders>
            <w:top w:val="single" w:sz="4" w:space="0" w:color="000000"/>
            <w:left w:val="nil"/>
            <w:bottom w:val="nil"/>
            <w:right w:val="nil"/>
          </w:tcBorders>
        </w:tcPr>
        <w:p w14:paraId="39F238B7" w14:textId="403C0806" w:rsidR="005D690E" w:rsidRPr="00AF5361" w:rsidRDefault="00000000">
          <w:pPr>
            <w:pBdr>
              <w:top w:val="nil"/>
              <w:left w:val="nil"/>
              <w:bottom w:val="nil"/>
              <w:right w:val="nil"/>
              <w:between w:val="nil"/>
            </w:pBdr>
            <w:tabs>
              <w:tab w:val="center" w:pos="4513"/>
              <w:tab w:val="right" w:pos="9026"/>
            </w:tabs>
            <w:spacing w:after="0"/>
            <w:rPr>
              <w:color w:val="000000"/>
            </w:rPr>
          </w:pPr>
          <w:r w:rsidRPr="00AF5361">
            <w:rPr>
              <w:rFonts w:ascii="Book Antiqua" w:eastAsia="Book Antiqua" w:hAnsi="Book Antiqua" w:cs="Book Antiqua"/>
              <w:b/>
              <w:bCs/>
              <w:color w:val="000000"/>
              <w:sz w:val="20"/>
              <w:szCs w:val="20"/>
            </w:rPr>
            <w:t>https://samsonjournal.com/</w:t>
          </w:r>
          <w:r w:rsidRPr="00AF5361">
            <w:rPr>
              <w:color w:val="000000"/>
            </w:rPr>
            <w:t>|</w:t>
          </w:r>
          <w:r w:rsidR="00AF5361">
            <w:t xml:space="preserve"> </w:t>
          </w:r>
          <w:r w:rsidR="00AF5361" w:rsidRPr="00AF5361">
            <w:rPr>
              <w:rFonts w:ascii="Book Antiqua" w:eastAsia="Book Antiqua" w:hAnsi="Book Antiqua" w:cs="Book Antiqua"/>
              <w:b/>
              <w:bCs/>
              <w:color w:val="000000"/>
              <w:sz w:val="20"/>
              <w:szCs w:val="20"/>
            </w:rPr>
            <w:t>Journal of Islamic Economics</w:t>
          </w:r>
        </w:p>
      </w:tc>
    </w:tr>
  </w:tbl>
  <w:p w14:paraId="0F36EF5C" w14:textId="77777777" w:rsidR="005D690E" w:rsidRPr="00AF5361" w:rsidRDefault="005D690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803F97" w14:textId="77777777" w:rsidR="005D690E" w:rsidRDefault="005D690E">
    <w:pPr>
      <w:widowControl w:val="0"/>
      <w:pBdr>
        <w:top w:val="nil"/>
        <w:left w:val="nil"/>
        <w:bottom w:val="nil"/>
        <w:right w:val="nil"/>
        <w:between w:val="nil"/>
      </w:pBdr>
      <w:spacing w:after="0"/>
      <w:rPr>
        <w:color w:val="000000"/>
      </w:rPr>
    </w:pPr>
  </w:p>
  <w:tbl>
    <w:tblPr>
      <w:tblStyle w:val="a9"/>
      <w:tblW w:w="9256" w:type="dxa"/>
      <w:tblInd w:w="-115" w:type="dxa"/>
      <w:tblLayout w:type="fixed"/>
      <w:tblLook w:val="0400" w:firstRow="0" w:lastRow="0" w:firstColumn="0" w:lastColumn="0" w:noHBand="0" w:noVBand="1"/>
    </w:tblPr>
    <w:tblGrid>
      <w:gridCol w:w="8330"/>
      <w:gridCol w:w="926"/>
    </w:tblGrid>
    <w:tr w:rsidR="005D690E" w14:paraId="3BFE33E1" w14:textId="77777777">
      <w:tc>
        <w:tcPr>
          <w:tcW w:w="8330" w:type="dxa"/>
          <w:tcBorders>
            <w:top w:val="single" w:sz="4" w:space="0" w:color="000000"/>
            <w:left w:val="nil"/>
            <w:bottom w:val="nil"/>
            <w:right w:val="nil"/>
          </w:tcBorders>
        </w:tcPr>
        <w:p w14:paraId="5A14554D" w14:textId="6F505B9E" w:rsidR="005D690E" w:rsidRPr="00AF5361" w:rsidRDefault="00AF5361">
          <w:pPr>
            <w:pBdr>
              <w:top w:val="nil"/>
              <w:left w:val="nil"/>
              <w:bottom w:val="nil"/>
              <w:right w:val="nil"/>
              <w:between w:val="nil"/>
            </w:pBdr>
            <w:tabs>
              <w:tab w:val="center" w:pos="4513"/>
              <w:tab w:val="right" w:pos="9026"/>
            </w:tabs>
            <w:spacing w:after="0"/>
            <w:jc w:val="right"/>
            <w:rPr>
              <w:b/>
              <w:bCs/>
              <w:color w:val="000000"/>
            </w:rPr>
          </w:pPr>
          <w:r w:rsidRPr="00AF5361">
            <w:rPr>
              <w:rFonts w:ascii="Book Antiqua" w:eastAsia="Book Antiqua" w:hAnsi="Book Antiqua" w:cs="Book Antiqua"/>
              <w:b/>
              <w:bCs/>
              <w:color w:val="000000"/>
              <w:sz w:val="20"/>
              <w:szCs w:val="20"/>
            </w:rPr>
            <w:t xml:space="preserve">Journal of Islamic Economics </w:t>
          </w:r>
          <w:r w:rsidRPr="00AF5361">
            <w:rPr>
              <w:b/>
              <w:bCs/>
              <w:color w:val="000000"/>
            </w:rPr>
            <w:t xml:space="preserve">| </w:t>
          </w:r>
          <w:hyperlink r:id="rId1">
            <w:r w:rsidRPr="00AF5361">
              <w:rPr>
                <w:rFonts w:ascii="Book Antiqua" w:eastAsia="Book Antiqua" w:hAnsi="Book Antiqua" w:cs="Book Antiqua"/>
                <w:b/>
                <w:bCs/>
                <w:color w:val="0000FF"/>
                <w:sz w:val="20"/>
                <w:szCs w:val="20"/>
                <w:u w:val="single"/>
              </w:rPr>
              <w:t>https://samsonjournal.com/</w:t>
            </w:r>
          </w:hyperlink>
          <w:r w:rsidRPr="00AF5361">
            <w:rPr>
              <w:rFonts w:ascii="Book Antiqua" w:eastAsia="Book Antiqua" w:hAnsi="Book Antiqua" w:cs="Book Antiqua"/>
              <w:b/>
              <w:bCs/>
              <w:color w:val="000000"/>
              <w:sz w:val="20"/>
              <w:szCs w:val="20"/>
            </w:rPr>
            <w:t xml:space="preserve"> </w:t>
          </w:r>
        </w:p>
      </w:tc>
      <w:tc>
        <w:tcPr>
          <w:tcW w:w="926" w:type="dxa"/>
          <w:tcBorders>
            <w:top w:val="single" w:sz="4" w:space="0" w:color="C0504D"/>
            <w:left w:val="nil"/>
            <w:bottom w:val="nil"/>
            <w:right w:val="nil"/>
          </w:tcBorders>
          <w:shd w:val="clear" w:color="auto" w:fill="00B050"/>
        </w:tcPr>
        <w:p w14:paraId="591955D2" w14:textId="75432EA9" w:rsidR="005D690E" w:rsidRDefault="00000000">
          <w:pPr>
            <w:pBdr>
              <w:top w:val="nil"/>
              <w:left w:val="nil"/>
              <w:bottom w:val="nil"/>
              <w:right w:val="nil"/>
              <w:between w:val="nil"/>
            </w:pBdr>
            <w:tabs>
              <w:tab w:val="center" w:pos="4513"/>
              <w:tab w:val="right" w:pos="9026"/>
            </w:tabs>
            <w:spacing w:after="0"/>
            <w:rPr>
              <w:rFonts w:ascii="Book Antiqua" w:eastAsia="Book Antiqua" w:hAnsi="Book Antiqua" w:cs="Book Antiqua"/>
              <w:color w:val="FFFFFF"/>
            </w:rPr>
          </w:pPr>
          <w:r>
            <w:rPr>
              <w:rFonts w:ascii="Book Antiqua" w:eastAsia="Book Antiqua" w:hAnsi="Book Antiqua" w:cs="Book Antiqua"/>
              <w:color w:val="000000"/>
            </w:rPr>
            <w:fldChar w:fldCharType="begin"/>
          </w:r>
          <w:r>
            <w:rPr>
              <w:rFonts w:ascii="Book Antiqua" w:eastAsia="Book Antiqua" w:hAnsi="Book Antiqua" w:cs="Book Antiqua"/>
              <w:color w:val="000000"/>
            </w:rPr>
            <w:instrText>PAGE</w:instrText>
          </w:r>
          <w:r>
            <w:rPr>
              <w:rFonts w:ascii="Book Antiqua" w:eastAsia="Book Antiqua" w:hAnsi="Book Antiqua" w:cs="Book Antiqua"/>
              <w:color w:val="000000"/>
            </w:rPr>
            <w:fldChar w:fldCharType="separate"/>
          </w:r>
          <w:r w:rsidR="00AF5361">
            <w:rPr>
              <w:rFonts w:ascii="Book Antiqua" w:eastAsia="Book Antiqua" w:hAnsi="Book Antiqua" w:cs="Book Antiqua"/>
              <w:noProof/>
              <w:color w:val="000000"/>
            </w:rPr>
            <w:t>3</w:t>
          </w:r>
          <w:r>
            <w:rPr>
              <w:rFonts w:ascii="Book Antiqua" w:eastAsia="Book Antiqua" w:hAnsi="Book Antiqua" w:cs="Book Antiqua"/>
              <w:color w:val="000000"/>
            </w:rPr>
            <w:fldChar w:fldCharType="end"/>
          </w:r>
        </w:p>
      </w:tc>
    </w:tr>
  </w:tbl>
  <w:p w14:paraId="2219095E" w14:textId="77777777" w:rsidR="005D690E" w:rsidRDefault="005D690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442545" w14:textId="77777777" w:rsidR="005D690E" w:rsidRDefault="005D690E">
    <w:pPr>
      <w:widowControl w:val="0"/>
      <w:pBdr>
        <w:top w:val="nil"/>
        <w:left w:val="nil"/>
        <w:bottom w:val="nil"/>
        <w:right w:val="nil"/>
        <w:between w:val="nil"/>
      </w:pBdr>
      <w:spacing w:after="0"/>
      <w:rPr>
        <w:color w:val="000000"/>
      </w:rPr>
    </w:pPr>
  </w:p>
  <w:tbl>
    <w:tblPr>
      <w:tblStyle w:val="aa"/>
      <w:tblW w:w="9256" w:type="dxa"/>
      <w:tblInd w:w="-115" w:type="dxa"/>
      <w:tblLayout w:type="fixed"/>
      <w:tblLook w:val="0400" w:firstRow="0" w:lastRow="0" w:firstColumn="0" w:lastColumn="0" w:noHBand="0" w:noVBand="1"/>
    </w:tblPr>
    <w:tblGrid>
      <w:gridCol w:w="8330"/>
      <w:gridCol w:w="926"/>
    </w:tblGrid>
    <w:tr w:rsidR="005D690E" w14:paraId="3C2837E2" w14:textId="77777777">
      <w:tc>
        <w:tcPr>
          <w:tcW w:w="8330" w:type="dxa"/>
          <w:tcBorders>
            <w:top w:val="single" w:sz="4" w:space="0" w:color="000000"/>
            <w:left w:val="nil"/>
            <w:bottom w:val="nil"/>
            <w:right w:val="nil"/>
          </w:tcBorders>
        </w:tcPr>
        <w:p w14:paraId="3056BD55" w14:textId="14BA267A" w:rsidR="005D690E" w:rsidRPr="007E7CD3" w:rsidRDefault="00A42809">
          <w:pPr>
            <w:pBdr>
              <w:top w:val="nil"/>
              <w:left w:val="nil"/>
              <w:bottom w:val="nil"/>
              <w:right w:val="nil"/>
              <w:between w:val="nil"/>
            </w:pBdr>
            <w:tabs>
              <w:tab w:val="center" w:pos="4513"/>
              <w:tab w:val="right" w:pos="9026"/>
            </w:tabs>
            <w:spacing w:after="0"/>
            <w:jc w:val="right"/>
            <w:rPr>
              <w:b/>
              <w:bCs/>
              <w:color w:val="000000"/>
            </w:rPr>
          </w:pPr>
          <w:r w:rsidRPr="007E7CD3">
            <w:rPr>
              <w:rFonts w:ascii="Book Antiqua" w:eastAsia="Book Antiqua" w:hAnsi="Book Antiqua" w:cs="Book Antiqua"/>
              <w:b/>
              <w:bCs/>
              <w:color w:val="000000"/>
              <w:sz w:val="20"/>
              <w:szCs w:val="20"/>
            </w:rPr>
            <w:t>Journal of Islamic Economics</w:t>
          </w:r>
          <w:r w:rsidRPr="007E7CD3">
            <w:rPr>
              <w:b/>
              <w:bCs/>
              <w:color w:val="000000"/>
            </w:rPr>
            <w:t xml:space="preserve">| </w:t>
          </w:r>
          <w:r w:rsidRPr="007E7CD3">
            <w:rPr>
              <w:color w:val="000000"/>
            </w:rPr>
            <w:t xml:space="preserve"> </w:t>
          </w:r>
          <w:r w:rsidRPr="007E7CD3">
            <w:rPr>
              <w:rFonts w:ascii="Book Antiqua" w:eastAsia="Book Antiqua" w:hAnsi="Book Antiqua" w:cs="Book Antiqua"/>
              <w:b/>
              <w:bCs/>
              <w:color w:val="000000"/>
              <w:sz w:val="20"/>
              <w:szCs w:val="20"/>
            </w:rPr>
            <w:t xml:space="preserve">https://samsonjournal.com </w:t>
          </w:r>
          <w:r w:rsidRPr="007E7CD3">
            <w:rPr>
              <w:b/>
              <w:bCs/>
              <w:color w:val="000000"/>
            </w:rPr>
            <w:t xml:space="preserve">  </w:t>
          </w:r>
        </w:p>
      </w:tc>
      <w:tc>
        <w:tcPr>
          <w:tcW w:w="926" w:type="dxa"/>
          <w:tcBorders>
            <w:top w:val="single" w:sz="4" w:space="0" w:color="C0504D"/>
            <w:left w:val="nil"/>
            <w:bottom w:val="nil"/>
            <w:right w:val="nil"/>
          </w:tcBorders>
          <w:shd w:val="clear" w:color="auto" w:fill="00C85A"/>
        </w:tcPr>
        <w:p w14:paraId="0AAA23B3" w14:textId="77777777" w:rsidR="005D690E" w:rsidRDefault="00000000">
          <w:pPr>
            <w:pBdr>
              <w:top w:val="nil"/>
              <w:left w:val="nil"/>
              <w:bottom w:val="nil"/>
              <w:right w:val="nil"/>
              <w:between w:val="nil"/>
            </w:pBdr>
            <w:tabs>
              <w:tab w:val="center" w:pos="4513"/>
              <w:tab w:val="right" w:pos="9026"/>
            </w:tabs>
            <w:spacing w:after="0"/>
            <w:rPr>
              <w:rFonts w:ascii="Book Antiqua" w:eastAsia="Book Antiqua" w:hAnsi="Book Antiqua" w:cs="Book Antiqua"/>
              <w:color w:val="FFFFFF"/>
            </w:rPr>
          </w:pPr>
          <w:r>
            <w:rPr>
              <w:rFonts w:ascii="Book Antiqua" w:eastAsia="Book Antiqua" w:hAnsi="Book Antiqua" w:cs="Book Antiqua"/>
              <w:color w:val="000000"/>
            </w:rPr>
            <w:fldChar w:fldCharType="begin"/>
          </w:r>
          <w:r>
            <w:rPr>
              <w:rFonts w:ascii="Book Antiqua" w:eastAsia="Book Antiqua" w:hAnsi="Book Antiqua" w:cs="Book Antiqua"/>
              <w:color w:val="000000"/>
            </w:rPr>
            <w:instrText>PAGE</w:instrText>
          </w:r>
          <w:r>
            <w:rPr>
              <w:rFonts w:ascii="Book Antiqua" w:eastAsia="Book Antiqua" w:hAnsi="Book Antiqua" w:cs="Book Antiqua"/>
              <w:color w:val="000000"/>
            </w:rPr>
            <w:fldChar w:fldCharType="separate"/>
          </w:r>
          <w:r w:rsidR="00AF5361">
            <w:rPr>
              <w:rFonts w:ascii="Book Antiqua" w:eastAsia="Book Antiqua" w:hAnsi="Book Antiqua" w:cs="Book Antiqua"/>
              <w:noProof/>
              <w:color w:val="000000"/>
            </w:rPr>
            <w:t>1</w:t>
          </w:r>
          <w:r>
            <w:rPr>
              <w:rFonts w:ascii="Book Antiqua" w:eastAsia="Book Antiqua" w:hAnsi="Book Antiqua" w:cs="Book Antiqua"/>
              <w:color w:val="000000"/>
            </w:rPr>
            <w:fldChar w:fldCharType="end"/>
          </w:r>
        </w:p>
      </w:tc>
    </w:tr>
  </w:tbl>
  <w:p w14:paraId="6DF4B93B" w14:textId="77777777" w:rsidR="005D690E" w:rsidRDefault="005D690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965229" w14:textId="77777777" w:rsidR="00D11480" w:rsidRDefault="00D11480">
      <w:pPr>
        <w:spacing w:after="0" w:line="240" w:lineRule="auto"/>
      </w:pPr>
      <w:r>
        <w:separator/>
      </w:r>
    </w:p>
  </w:footnote>
  <w:footnote w:type="continuationSeparator" w:id="0">
    <w:p w14:paraId="10D019F6" w14:textId="77777777" w:rsidR="00D11480" w:rsidRDefault="00D114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EC82B1" w14:textId="77777777" w:rsidR="005D690E" w:rsidRDefault="005D690E">
    <w:pPr>
      <w:widowControl w:val="0"/>
      <w:pBdr>
        <w:top w:val="nil"/>
        <w:left w:val="nil"/>
        <w:bottom w:val="nil"/>
        <w:right w:val="nil"/>
        <w:between w:val="nil"/>
      </w:pBdr>
      <w:spacing w:after="0"/>
    </w:pPr>
  </w:p>
  <w:tbl>
    <w:tblPr>
      <w:tblStyle w:val="a8"/>
      <w:tblW w:w="9256" w:type="dxa"/>
      <w:tblInd w:w="-115" w:type="dxa"/>
      <w:tblLayout w:type="fixed"/>
      <w:tblLook w:val="0400" w:firstRow="0" w:lastRow="0" w:firstColumn="0" w:lastColumn="0" w:noHBand="0" w:noVBand="1"/>
    </w:tblPr>
    <w:tblGrid>
      <w:gridCol w:w="2777"/>
      <w:gridCol w:w="6479"/>
    </w:tblGrid>
    <w:tr w:rsidR="005D690E" w14:paraId="3D0565AF" w14:textId="77777777">
      <w:tc>
        <w:tcPr>
          <w:tcW w:w="2777" w:type="dxa"/>
          <w:tcBorders>
            <w:top w:val="nil"/>
            <w:left w:val="nil"/>
            <w:bottom w:val="single" w:sz="4" w:space="0" w:color="943734"/>
            <w:right w:val="nil"/>
          </w:tcBorders>
          <w:shd w:val="clear" w:color="auto" w:fill="00B050"/>
          <w:vAlign w:val="bottom"/>
        </w:tcPr>
        <w:p w14:paraId="305EA48E" w14:textId="11EE6746" w:rsidR="005D690E" w:rsidRDefault="00000000">
          <w:pPr>
            <w:pBdr>
              <w:top w:val="nil"/>
              <w:left w:val="nil"/>
              <w:bottom w:val="nil"/>
              <w:right w:val="nil"/>
              <w:between w:val="nil"/>
            </w:pBdr>
            <w:tabs>
              <w:tab w:val="center" w:pos="4513"/>
              <w:tab w:val="right" w:pos="9026"/>
            </w:tabs>
            <w:spacing w:after="0"/>
            <w:jc w:val="right"/>
            <w:rPr>
              <w:rFonts w:ascii="Book Antiqua" w:eastAsia="Book Antiqua" w:hAnsi="Book Antiqua" w:cs="Book Antiqua"/>
              <w:b/>
              <w:bCs/>
              <w:color w:val="FFFFFF"/>
              <w:sz w:val="20"/>
              <w:szCs w:val="20"/>
            </w:rPr>
          </w:pPr>
          <w:r>
            <w:rPr>
              <w:rFonts w:ascii="Book Antiqua" w:eastAsia="Book Antiqua" w:hAnsi="Book Antiqua" w:cs="Book Antiqua"/>
              <w:b/>
              <w:bCs/>
              <w:color w:val="FFFFFF"/>
              <w:sz w:val="20"/>
              <w:szCs w:val="20"/>
            </w:rPr>
            <w:t xml:space="preserve">Vol. </w:t>
          </w:r>
          <w:r w:rsidR="0077114A">
            <w:rPr>
              <w:rFonts w:ascii="Book Antiqua" w:eastAsia="Book Antiqua" w:hAnsi="Book Antiqua" w:cs="Book Antiqua"/>
              <w:b/>
              <w:bCs/>
              <w:color w:val="FFFFFF"/>
              <w:sz w:val="20"/>
              <w:szCs w:val="20"/>
            </w:rPr>
            <w:t>4</w:t>
          </w:r>
          <w:r>
            <w:rPr>
              <w:rFonts w:ascii="Book Antiqua" w:eastAsia="Book Antiqua" w:hAnsi="Book Antiqua" w:cs="Book Antiqua"/>
              <w:b/>
              <w:bCs/>
              <w:color w:val="FFFFFF"/>
              <w:sz w:val="20"/>
              <w:szCs w:val="20"/>
            </w:rPr>
            <w:t xml:space="preserve">, No. </w:t>
          </w:r>
          <w:r w:rsidR="0077114A">
            <w:rPr>
              <w:rFonts w:ascii="Book Antiqua" w:eastAsia="Book Antiqua" w:hAnsi="Book Antiqua" w:cs="Book Antiqua"/>
              <w:b/>
              <w:bCs/>
              <w:color w:val="FFFFFF"/>
              <w:sz w:val="20"/>
              <w:szCs w:val="20"/>
            </w:rPr>
            <w:t>2</w:t>
          </w:r>
          <w:r>
            <w:rPr>
              <w:rFonts w:ascii="Book Antiqua" w:eastAsia="Book Antiqua" w:hAnsi="Book Antiqua" w:cs="Book Antiqua"/>
              <w:b/>
              <w:bCs/>
              <w:color w:val="FFFFFF"/>
              <w:sz w:val="20"/>
              <w:szCs w:val="20"/>
            </w:rPr>
            <w:t xml:space="preserve">, </w:t>
          </w:r>
          <w:r w:rsidR="0077114A">
            <w:rPr>
              <w:rFonts w:ascii="Book Antiqua" w:eastAsia="Book Antiqua" w:hAnsi="Book Antiqua" w:cs="Book Antiqua"/>
              <w:b/>
              <w:bCs/>
              <w:color w:val="FFFFFF"/>
              <w:sz w:val="20"/>
              <w:szCs w:val="20"/>
            </w:rPr>
            <w:t>June 2026</w:t>
          </w:r>
        </w:p>
      </w:tc>
      <w:tc>
        <w:tcPr>
          <w:tcW w:w="6479" w:type="dxa"/>
          <w:tcBorders>
            <w:top w:val="nil"/>
            <w:left w:val="nil"/>
            <w:bottom w:val="single" w:sz="4" w:space="0" w:color="000000"/>
            <w:right w:val="nil"/>
          </w:tcBorders>
          <w:vAlign w:val="bottom"/>
        </w:tcPr>
        <w:p w14:paraId="39DBB6ED" w14:textId="64D9D273" w:rsidR="005D690E" w:rsidRDefault="00000000">
          <w:pPr>
            <w:pBdr>
              <w:top w:val="nil"/>
              <w:left w:val="nil"/>
              <w:bottom w:val="nil"/>
              <w:right w:val="nil"/>
              <w:between w:val="nil"/>
            </w:pBdr>
            <w:tabs>
              <w:tab w:val="center" w:pos="4513"/>
              <w:tab w:val="right" w:pos="9026"/>
            </w:tabs>
            <w:spacing w:after="0"/>
            <w:rPr>
              <w:rFonts w:ascii="Book Antiqua" w:eastAsia="Book Antiqua" w:hAnsi="Book Antiqua" w:cs="Book Antiqua"/>
              <w:b/>
              <w:bCs/>
              <w:smallCaps/>
              <w:color w:val="000000"/>
              <w:sz w:val="20"/>
              <w:szCs w:val="20"/>
            </w:rPr>
          </w:pPr>
          <w:r>
            <w:rPr>
              <w:rFonts w:ascii="Book Antiqua" w:eastAsia="Book Antiqua" w:hAnsi="Book Antiqua" w:cs="Book Antiqua"/>
              <w:b/>
              <w:bCs/>
              <w:color w:val="76923C"/>
              <w:sz w:val="20"/>
              <w:szCs w:val="20"/>
            </w:rPr>
            <w:t>[</w:t>
          </w:r>
          <w:r w:rsidR="0077114A" w:rsidRPr="0077114A">
            <w:rPr>
              <w:rFonts w:ascii="Book Antiqua" w:eastAsia="Book Antiqua" w:hAnsi="Book Antiqua" w:cs="Book Antiqua"/>
              <w:b/>
              <w:bCs/>
              <w:color w:val="000000"/>
              <w:sz w:val="20"/>
              <w:szCs w:val="20"/>
            </w:rPr>
            <w:t xml:space="preserve">Rupiah Depreciation </w:t>
          </w:r>
          <w:r w:rsidR="0077114A">
            <w:rPr>
              <w:rFonts w:ascii="Book Antiqua" w:eastAsia="Book Antiqua" w:hAnsi="Book Antiqua" w:cs="Book Antiqua"/>
              <w:b/>
              <w:bCs/>
              <w:color w:val="000000"/>
              <w:sz w:val="20"/>
              <w:szCs w:val="20"/>
            </w:rPr>
            <w:t>a</w:t>
          </w:r>
          <w:r w:rsidR="0077114A" w:rsidRPr="0077114A">
            <w:rPr>
              <w:rFonts w:ascii="Book Antiqua" w:eastAsia="Book Antiqua" w:hAnsi="Book Antiqua" w:cs="Book Antiqua"/>
              <w:b/>
              <w:bCs/>
              <w:color w:val="000000"/>
              <w:sz w:val="20"/>
              <w:szCs w:val="20"/>
            </w:rPr>
            <w:t xml:space="preserve">nd Sharia Equity Performance: Evidence </w:t>
          </w:r>
          <w:r w:rsidR="0077114A">
            <w:rPr>
              <w:rFonts w:ascii="Book Antiqua" w:eastAsia="Book Antiqua" w:hAnsi="Book Antiqua" w:cs="Book Antiqua"/>
              <w:b/>
              <w:bCs/>
              <w:color w:val="000000"/>
              <w:sz w:val="20"/>
              <w:szCs w:val="20"/>
            </w:rPr>
            <w:t>f</w:t>
          </w:r>
          <w:r w:rsidR="0077114A" w:rsidRPr="0077114A">
            <w:rPr>
              <w:rFonts w:ascii="Book Antiqua" w:eastAsia="Book Antiqua" w:hAnsi="Book Antiqua" w:cs="Book Antiqua"/>
              <w:b/>
              <w:bCs/>
              <w:color w:val="000000"/>
              <w:sz w:val="20"/>
              <w:szCs w:val="20"/>
            </w:rPr>
            <w:t xml:space="preserve">rom </w:t>
          </w:r>
          <w:r w:rsidR="0077114A">
            <w:rPr>
              <w:rFonts w:ascii="Book Antiqua" w:eastAsia="Book Antiqua" w:hAnsi="Book Antiqua" w:cs="Book Antiqua"/>
              <w:b/>
              <w:bCs/>
              <w:color w:val="000000"/>
              <w:sz w:val="20"/>
              <w:szCs w:val="20"/>
            </w:rPr>
            <w:t>t</w:t>
          </w:r>
          <w:r w:rsidR="0077114A" w:rsidRPr="0077114A">
            <w:rPr>
              <w:rFonts w:ascii="Book Antiqua" w:eastAsia="Book Antiqua" w:hAnsi="Book Antiqua" w:cs="Book Antiqua"/>
              <w:b/>
              <w:bCs/>
              <w:color w:val="000000"/>
              <w:sz w:val="20"/>
              <w:szCs w:val="20"/>
            </w:rPr>
            <w:t>he Indonesian Sharia Stock Index During Economic Turbulence</w:t>
          </w:r>
          <w:r>
            <w:rPr>
              <w:b/>
              <w:bCs/>
              <w:color w:val="76923C"/>
              <w:sz w:val="24"/>
              <w:szCs w:val="24"/>
            </w:rPr>
            <w:t>]</w:t>
          </w:r>
        </w:p>
      </w:tc>
    </w:tr>
  </w:tbl>
  <w:p w14:paraId="131ABE46" w14:textId="77777777" w:rsidR="005D690E" w:rsidRDefault="005D690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6F7C06" w14:textId="77777777" w:rsidR="00FB204F" w:rsidRDefault="00FB204F" w:rsidP="00FB204F">
    <w:pPr>
      <w:widowControl w:val="0"/>
      <w:pBdr>
        <w:top w:val="nil"/>
        <w:left w:val="nil"/>
        <w:bottom w:val="nil"/>
        <w:right w:val="nil"/>
        <w:between w:val="nil"/>
      </w:pBdr>
      <w:spacing w:after="0"/>
      <w:rPr>
        <w:color w:val="000000"/>
      </w:rPr>
    </w:pPr>
  </w:p>
  <w:tbl>
    <w:tblPr>
      <w:tblStyle w:val="a7"/>
      <w:tblW w:w="9256" w:type="dxa"/>
      <w:tblInd w:w="-115" w:type="dxa"/>
      <w:tblLayout w:type="fixed"/>
      <w:tblLook w:val="0400" w:firstRow="0" w:lastRow="0" w:firstColumn="0" w:lastColumn="0" w:noHBand="0" w:noVBand="1"/>
    </w:tblPr>
    <w:tblGrid>
      <w:gridCol w:w="6479"/>
      <w:gridCol w:w="2777"/>
    </w:tblGrid>
    <w:tr w:rsidR="00FB204F" w14:paraId="5B49E6E5" w14:textId="77777777" w:rsidTr="00EA7AC7">
      <w:tc>
        <w:tcPr>
          <w:tcW w:w="6479" w:type="dxa"/>
          <w:tcBorders>
            <w:top w:val="nil"/>
            <w:left w:val="nil"/>
            <w:bottom w:val="single" w:sz="4" w:space="0" w:color="000000"/>
            <w:right w:val="nil"/>
          </w:tcBorders>
          <w:vAlign w:val="bottom"/>
        </w:tcPr>
        <w:p w14:paraId="76F5E14C" w14:textId="5E1D180F" w:rsidR="00FB204F" w:rsidRDefault="00FB204F" w:rsidP="00FB204F">
          <w:pPr>
            <w:pBdr>
              <w:top w:val="nil"/>
              <w:left w:val="nil"/>
              <w:bottom w:val="nil"/>
              <w:right w:val="nil"/>
              <w:between w:val="nil"/>
            </w:pBdr>
            <w:tabs>
              <w:tab w:val="center" w:pos="4513"/>
              <w:tab w:val="right" w:pos="9026"/>
            </w:tabs>
            <w:spacing w:after="0"/>
            <w:jc w:val="right"/>
            <w:rPr>
              <w:color w:val="76923C"/>
              <w:sz w:val="24"/>
              <w:szCs w:val="24"/>
            </w:rPr>
          </w:pPr>
          <w:r>
            <w:rPr>
              <w:rFonts w:ascii="Book Antiqua" w:eastAsia="Book Antiqua" w:hAnsi="Book Antiqua" w:cs="Book Antiqua"/>
              <w:b/>
              <w:bCs/>
              <w:color w:val="76923C"/>
              <w:sz w:val="20"/>
              <w:szCs w:val="20"/>
            </w:rPr>
            <w:t>[</w:t>
          </w:r>
          <w:r w:rsidRPr="0077114A">
            <w:rPr>
              <w:rFonts w:ascii="Book Antiqua" w:eastAsia="Book Antiqua" w:hAnsi="Book Antiqua" w:cs="Book Antiqua"/>
              <w:b/>
              <w:bCs/>
              <w:color w:val="000000"/>
              <w:sz w:val="20"/>
              <w:szCs w:val="20"/>
            </w:rPr>
            <w:t xml:space="preserve">Rupiah Depreciation </w:t>
          </w:r>
          <w:r>
            <w:rPr>
              <w:rFonts w:ascii="Book Antiqua" w:eastAsia="Book Antiqua" w:hAnsi="Book Antiqua" w:cs="Book Antiqua"/>
              <w:b/>
              <w:bCs/>
              <w:color w:val="000000"/>
              <w:sz w:val="20"/>
              <w:szCs w:val="20"/>
            </w:rPr>
            <w:t>a</w:t>
          </w:r>
          <w:r w:rsidRPr="0077114A">
            <w:rPr>
              <w:rFonts w:ascii="Book Antiqua" w:eastAsia="Book Antiqua" w:hAnsi="Book Antiqua" w:cs="Book Antiqua"/>
              <w:b/>
              <w:bCs/>
              <w:color w:val="000000"/>
              <w:sz w:val="20"/>
              <w:szCs w:val="20"/>
            </w:rPr>
            <w:t xml:space="preserve">nd Sharia Equity Performance: Evidence </w:t>
          </w:r>
          <w:r>
            <w:rPr>
              <w:rFonts w:ascii="Book Antiqua" w:eastAsia="Book Antiqua" w:hAnsi="Book Antiqua" w:cs="Book Antiqua"/>
              <w:b/>
              <w:bCs/>
              <w:color w:val="000000"/>
              <w:sz w:val="20"/>
              <w:szCs w:val="20"/>
            </w:rPr>
            <w:t>f</w:t>
          </w:r>
          <w:r w:rsidRPr="0077114A">
            <w:rPr>
              <w:rFonts w:ascii="Book Antiqua" w:eastAsia="Book Antiqua" w:hAnsi="Book Antiqua" w:cs="Book Antiqua"/>
              <w:b/>
              <w:bCs/>
              <w:color w:val="000000"/>
              <w:sz w:val="20"/>
              <w:szCs w:val="20"/>
            </w:rPr>
            <w:t xml:space="preserve">rom </w:t>
          </w:r>
          <w:r>
            <w:rPr>
              <w:rFonts w:ascii="Book Antiqua" w:eastAsia="Book Antiqua" w:hAnsi="Book Antiqua" w:cs="Book Antiqua"/>
              <w:b/>
              <w:bCs/>
              <w:color w:val="000000"/>
              <w:sz w:val="20"/>
              <w:szCs w:val="20"/>
            </w:rPr>
            <w:t>t</w:t>
          </w:r>
          <w:r w:rsidRPr="0077114A">
            <w:rPr>
              <w:rFonts w:ascii="Book Antiqua" w:eastAsia="Book Antiqua" w:hAnsi="Book Antiqua" w:cs="Book Antiqua"/>
              <w:b/>
              <w:bCs/>
              <w:color w:val="000000"/>
              <w:sz w:val="20"/>
              <w:szCs w:val="20"/>
            </w:rPr>
            <w:t>he Indonesian Sharia Stock Index During Economic Turbulence</w:t>
          </w:r>
          <w:r>
            <w:rPr>
              <w:b/>
              <w:bCs/>
              <w:color w:val="76923C"/>
              <w:sz w:val="24"/>
              <w:szCs w:val="24"/>
            </w:rPr>
            <w:t>]</w:t>
          </w:r>
        </w:p>
      </w:tc>
      <w:tc>
        <w:tcPr>
          <w:tcW w:w="2777" w:type="dxa"/>
          <w:tcBorders>
            <w:top w:val="nil"/>
            <w:left w:val="nil"/>
            <w:bottom w:val="single" w:sz="4" w:space="0" w:color="943734"/>
            <w:right w:val="nil"/>
          </w:tcBorders>
          <w:shd w:val="clear" w:color="auto" w:fill="00B050"/>
          <w:vAlign w:val="bottom"/>
        </w:tcPr>
        <w:p w14:paraId="51D108C2" w14:textId="0F2E401E" w:rsidR="00FB204F" w:rsidRDefault="00FB204F" w:rsidP="00FB204F">
          <w:pPr>
            <w:pBdr>
              <w:top w:val="nil"/>
              <w:left w:val="nil"/>
              <w:bottom w:val="nil"/>
              <w:right w:val="nil"/>
              <w:between w:val="nil"/>
            </w:pBdr>
            <w:tabs>
              <w:tab w:val="center" w:pos="4513"/>
              <w:tab w:val="right" w:pos="9026"/>
            </w:tabs>
            <w:spacing w:after="0"/>
            <w:rPr>
              <w:rFonts w:ascii="Book Antiqua" w:eastAsia="Book Antiqua" w:hAnsi="Book Antiqua" w:cs="Book Antiqua"/>
              <w:b/>
              <w:bCs/>
              <w:color w:val="FFFFFF"/>
              <w:sz w:val="20"/>
              <w:szCs w:val="20"/>
            </w:rPr>
          </w:pPr>
          <w:r>
            <w:rPr>
              <w:rFonts w:ascii="Book Antiqua" w:eastAsia="Book Antiqua" w:hAnsi="Book Antiqua" w:cs="Book Antiqua"/>
              <w:b/>
              <w:bCs/>
              <w:color w:val="FFFFFF"/>
              <w:sz w:val="20"/>
              <w:szCs w:val="20"/>
            </w:rPr>
            <w:t>Vol. 4, No. 2, June 2026</w:t>
          </w:r>
        </w:p>
      </w:tc>
    </w:tr>
  </w:tbl>
  <w:p w14:paraId="5F75A9CD" w14:textId="77777777" w:rsidR="005D690E" w:rsidRPr="00FB204F" w:rsidRDefault="005D690E" w:rsidP="00FB20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7DC9F" w14:textId="77777777" w:rsidR="00ED1A72" w:rsidRDefault="00ED1A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B1525E"/>
    <w:multiLevelType w:val="multilevel"/>
    <w:tmpl w:val="B532D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857510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0E"/>
    <w:rsid w:val="001F7840"/>
    <w:rsid w:val="00210586"/>
    <w:rsid w:val="0021655F"/>
    <w:rsid w:val="004971D9"/>
    <w:rsid w:val="005B024B"/>
    <w:rsid w:val="005D690E"/>
    <w:rsid w:val="0077114A"/>
    <w:rsid w:val="007E7CD3"/>
    <w:rsid w:val="00941C7F"/>
    <w:rsid w:val="009916EA"/>
    <w:rsid w:val="00A42809"/>
    <w:rsid w:val="00AF5361"/>
    <w:rsid w:val="00CD2127"/>
    <w:rsid w:val="00D11480"/>
    <w:rsid w:val="00DB4AE1"/>
    <w:rsid w:val="00DE51BE"/>
    <w:rsid w:val="00E72E17"/>
    <w:rsid w:val="00ED1A72"/>
    <w:rsid w:val="00F34903"/>
    <w:rsid w:val="00FB204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CDB3A"/>
  <w15:docId w15:val="{DFE73489-7A1E-4675-816B-22A7705BA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pacing w:before="100" w:after="0" w:line="240" w:lineRule="auto"/>
      <w:ind w:left="112"/>
      <w:outlineLvl w:val="0"/>
    </w:pPr>
    <w:rPr>
      <w:rFonts w:ascii="Quattrocento Sans" w:eastAsia="Quattrocento Sans" w:hAnsi="Quattrocento Sans" w:cs="Quattrocento Sans"/>
      <w:b/>
      <w:bCs/>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val="0"/>
      <w:spacing w:before="100" w:after="0" w:line="240" w:lineRule="auto"/>
      <w:ind w:left="340" w:right="423"/>
      <w:jc w:val="center"/>
    </w:pPr>
    <w:rPr>
      <w:rFonts w:ascii="Tahoma" w:eastAsia="Tahoma" w:hAnsi="Tahoma" w:cs="Tahoma"/>
      <w:b/>
      <w:bCs/>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CellMar>
        <w:top w:w="72" w:type="dxa"/>
        <w:left w:w="115" w:type="dxa"/>
        <w:bottom w:w="72" w:type="dxa"/>
        <w:right w:w="115" w:type="dxa"/>
      </w:tblCellMar>
    </w:tblPr>
  </w:style>
  <w:style w:type="table" w:customStyle="1" w:styleId="a8">
    <w:basedOn w:val="TableNormal0"/>
    <w:tblPr>
      <w:tblStyleRowBandSize w:val="1"/>
      <w:tblStyleColBandSize w:val="1"/>
      <w:tblCellMar>
        <w:top w:w="72" w:type="dxa"/>
        <w:left w:w="115" w:type="dxa"/>
        <w:bottom w:w="72" w:type="dxa"/>
        <w:right w:w="115" w:type="dxa"/>
      </w:tblCellMar>
    </w:tblPr>
  </w:style>
  <w:style w:type="table" w:customStyle="1" w:styleId="a9">
    <w:basedOn w:val="TableNormal0"/>
    <w:tblPr>
      <w:tblStyleRowBandSize w:val="1"/>
      <w:tblStyleColBandSize w:val="1"/>
      <w:tblCellMar>
        <w:top w:w="72" w:type="dxa"/>
        <w:left w:w="115" w:type="dxa"/>
        <w:bottom w:w="72" w:type="dxa"/>
        <w:right w:w="115" w:type="dxa"/>
      </w:tblCellMar>
    </w:tblPr>
  </w:style>
  <w:style w:type="table" w:customStyle="1" w:styleId="aa">
    <w:basedOn w:val="TableNormal0"/>
    <w:tblPr>
      <w:tblStyleRowBandSize w:val="1"/>
      <w:tblStyleColBandSize w:val="1"/>
      <w:tblCellMar>
        <w:top w:w="72" w:type="dxa"/>
        <w:left w:w="115" w:type="dxa"/>
        <w:bottom w:w="72" w:type="dxa"/>
        <w:right w:w="115" w:type="dxa"/>
      </w:tblCellMar>
    </w:tblPr>
  </w:style>
  <w:style w:type="table" w:customStyle="1" w:styleId="ab">
    <w:basedOn w:val="TableNormal0"/>
    <w:tblPr>
      <w:tblStyleRowBandSize w:val="1"/>
      <w:tblStyleColBandSize w:val="1"/>
      <w:tblCellMar>
        <w:top w:w="72" w:type="dxa"/>
        <w:left w:w="115" w:type="dxa"/>
        <w:bottom w:w="72" w:type="dxa"/>
        <w:right w:w="115" w:type="dxa"/>
      </w:tblCellMar>
    </w:tblPr>
  </w:style>
  <w:style w:type="paragraph" w:styleId="Header">
    <w:name w:val="header"/>
    <w:basedOn w:val="Normal"/>
    <w:link w:val="HeaderChar"/>
    <w:uiPriority w:val="99"/>
    <w:unhideWhenUsed/>
    <w:rsid w:val="00AF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1fadhilahatikah@apps.ipb.ac.id" TargetMode="External"/><Relationship Id="rId18" Type="http://schemas.openxmlformats.org/officeDocument/2006/relationships/hyperlink" Target="https://www.bi.go.id" TargetMode="External"/><Relationship Id="rId26" Type="http://schemas.openxmlformats.org/officeDocument/2006/relationships/hyperlink" Target="https://journal.uii.ac.id/selma/article/view/42290" TargetMode="External"/><Relationship Id="rId39" Type="http://schemas.openxmlformats.org/officeDocument/2006/relationships/hyperlink" Target="https://creativecommons.org/licenses/by-sa/4.0/" TargetMode="External"/><Relationship Id="rId21" Type="http://schemas.openxmlformats.org/officeDocument/2006/relationships/hyperlink" Target="https://doi.org/10.3386/w1135" TargetMode="External"/><Relationship Id="rId34" Type="http://schemas.openxmlformats.org/officeDocument/2006/relationships/hyperlink" Target="https://jurnal.unissula.ac.id/index.php/cbam/article/view/323"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bps.go.id" TargetMode="External"/><Relationship Id="rId29" Type="http://schemas.openxmlformats.org/officeDocument/2006/relationships/hyperlink" Target="https://doi.org/10.63822/jsss474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2fadillahpuan@apps.ipb.ac.id" TargetMode="External"/><Relationship Id="rId24" Type="http://schemas.openxmlformats.org/officeDocument/2006/relationships/hyperlink" Target="https://doi.org/10.2307/1913236" TargetMode="External"/><Relationship Id="rId32" Type="http://schemas.openxmlformats.org/officeDocument/2006/relationships/hyperlink" Target="https://doi.org/10.1016/j.jimonfin.2005.08.001" TargetMode="External"/><Relationship Id="rId37" Type="http://schemas.openxmlformats.org/officeDocument/2006/relationships/hyperlink" Target="https://www.unand.ac.id"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mailto:farizahmadzain@apps.ipb.ac.id" TargetMode="External"/><Relationship Id="rId23" Type="http://schemas.openxmlformats.org/officeDocument/2006/relationships/hyperlink" Target="https://www.idx.co.id/id/idx-syariah" TargetMode="External"/><Relationship Id="rId28" Type="http://schemas.openxmlformats.org/officeDocument/2006/relationships/hyperlink" Target="https://satudata.kemendag.go.id" TargetMode="External"/><Relationship Id="rId36" Type="http://schemas.openxmlformats.org/officeDocument/2006/relationships/hyperlink" Target="https://tradingeconomics.com/indonesia/currency" TargetMode="External"/><Relationship Id="rId10" Type="http://schemas.openxmlformats.org/officeDocument/2006/relationships/hyperlink" Target="mailto:2fadillahpuan@apps.ipb.ac.id" TargetMode="External"/><Relationship Id="rId19" Type="http://schemas.openxmlformats.org/officeDocument/2006/relationships/hyperlink" Target="https://www.bi.go.id" TargetMode="External"/><Relationship Id="rId31" Type="http://schemas.openxmlformats.org/officeDocument/2006/relationships/hyperlink" Target="https://www.ojk.go.id" TargetMode="External"/><Relationship Id="rId44"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1fadhilahatikah@apps.ipb.ac.id" TargetMode="External"/><Relationship Id="rId14" Type="http://schemas.openxmlformats.org/officeDocument/2006/relationships/hyperlink" Target="mailto:1fadhilahatikah@apps.ipb.ac.id" TargetMode="External"/><Relationship Id="rId22" Type="http://schemas.openxmlformats.org/officeDocument/2006/relationships/hyperlink" Target="https://www.idx.co.id/id/idx-syariah/indeks-saham-syariah" TargetMode="External"/><Relationship Id="rId27" Type="http://schemas.openxmlformats.org/officeDocument/2006/relationships/hyperlink" Target="https://doi.org/10.1016/0304-4076(74)90034-7" TargetMode="External"/><Relationship Id="rId30" Type="http://schemas.openxmlformats.org/officeDocument/2006/relationships/hyperlink" Target="https://doi.org/10.1016/S1058-3300(03)00026-0" TargetMode="External"/><Relationship Id="rId35" Type="http://schemas.openxmlformats.org/officeDocument/2006/relationships/hyperlink" Target="https://doi.org/10.29040/jiei.v10i1.12087" TargetMode="External"/><Relationship Id="rId43" Type="http://schemas.openxmlformats.org/officeDocument/2006/relationships/footer" Target="footer2.xml"/><Relationship Id="rId8" Type="http://schemas.openxmlformats.org/officeDocument/2006/relationships/image" Target="media/image3.png"/><Relationship Id="rId3" Type="http://schemas.openxmlformats.org/officeDocument/2006/relationships/settings" Target="settings.xml"/><Relationship Id="rId12" Type="http://schemas.openxmlformats.org/officeDocument/2006/relationships/hyperlink" Target="mailto:studyhilman@apps.ipb.ac.id" TargetMode="External"/><Relationship Id="rId17" Type="http://schemas.openxmlformats.org/officeDocument/2006/relationships/hyperlink" Target="https://doi.org/10.1007/s12197-017-9388-8" TargetMode="External"/><Relationship Id="rId25" Type="http://schemas.openxmlformats.org/officeDocument/2006/relationships/hyperlink" Target="https://doi.org/10.2307/2325486" TargetMode="External"/><Relationship Id="rId33" Type="http://schemas.openxmlformats.org/officeDocument/2006/relationships/hyperlink" Target="https://doi.org/10.1016/0022-0531(76)90046-6" TargetMode="External"/><Relationship Id="rId38" Type="http://schemas.openxmlformats.org/officeDocument/2006/relationships/image" Target="media/image2.jpg"/><Relationship Id="rId46" Type="http://schemas.openxmlformats.org/officeDocument/2006/relationships/fontTable" Target="fontTable.xml"/><Relationship Id="rId20" Type="http://schemas.openxmlformats.org/officeDocument/2006/relationships/hyperlink" Target="https://market.bisnis.com" TargetMode="External"/><Relationship Id="rId41"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hyperlink" Target="https://samsonjourn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6214</Words>
  <Characters>35421</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Uswatun Khasanah</cp:lastModifiedBy>
  <cp:revision>2</cp:revision>
  <dcterms:created xsi:type="dcterms:W3CDTF">2026-07-21T08:58:00Z</dcterms:created>
  <dcterms:modified xsi:type="dcterms:W3CDTF">2026-07-21T08:58:00Z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https://csl.mendeley.com/styles/475823531/apa</vt:lpwstr>
  </property>
  <property fmtid="{D5CDD505-2E9C-101B-9397-08002B2CF9AE}" pid="7" name="Mendeley Recent Style Name 2_1">
    <vt:lpwstr>American Psychological Association 6th edition - Mincho Slavov</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4615a7a6-57ca-3def-8283-7142b3096113</vt:lpwstr>
  </property>
  <property fmtid="{D5CDD505-2E9C-101B-9397-08002B2CF9AE}" pid="24" name="Mendeley Citation Style_1">
    <vt:lpwstr>https://csl.mendeley.com/styles/475823531/apa</vt:lpwstr>
  </property>
</Properties>
</file>